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B6" w:rsidRDefault="00E21A2F"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4.15pt;margin-top:-11.05pt;width:183.75pt;height:73.35pt;z-index:251658240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759837291" r:id="rId9"/>
        </w:object>
      </w:r>
      <w:r w:rsidR="00FA3797">
        <w:t xml:space="preserve"> </w:t>
      </w:r>
    </w:p>
    <w:p w:rsidR="00324687" w:rsidRDefault="00324687"/>
    <w:p w:rsidR="00FA3797" w:rsidRDefault="00FA3797"/>
    <w:p w:rsidR="00680EE1" w:rsidRDefault="00680EE1"/>
    <w:p w:rsidR="006D538E" w:rsidRDefault="006D538E"/>
    <w:p w:rsidR="006D538E" w:rsidRDefault="006D538E"/>
    <w:p w:rsidR="006D538E" w:rsidRDefault="006D538E"/>
    <w:p w:rsidR="006D538E" w:rsidRDefault="006D538E"/>
    <w:p w:rsidR="00680EE1" w:rsidRPr="00680EE1" w:rsidRDefault="00680EE1" w:rsidP="00FA3797">
      <w:pPr>
        <w:jc w:val="center"/>
        <w:rPr>
          <w:b/>
          <w:sz w:val="40"/>
          <w:u w:val="single"/>
        </w:rPr>
      </w:pPr>
      <w:r w:rsidRPr="00680EE1">
        <w:rPr>
          <w:b/>
          <w:sz w:val="40"/>
          <w:u w:val="single"/>
        </w:rPr>
        <w:t>Appel à candidatures</w:t>
      </w:r>
    </w:p>
    <w:p w:rsidR="00680EE1" w:rsidRDefault="00680EE1" w:rsidP="00FA3797">
      <w:pPr>
        <w:jc w:val="center"/>
        <w:rPr>
          <w:b/>
          <w:sz w:val="40"/>
        </w:rPr>
      </w:pPr>
    </w:p>
    <w:p w:rsidR="00FA3797" w:rsidRDefault="00FA3797" w:rsidP="00FA3797">
      <w:pPr>
        <w:jc w:val="center"/>
        <w:rPr>
          <w:b/>
          <w:sz w:val="40"/>
        </w:rPr>
      </w:pPr>
      <w:bookmarkStart w:id="0" w:name="_Hlk148947638"/>
      <w:r>
        <w:rPr>
          <w:b/>
          <w:sz w:val="40"/>
        </w:rPr>
        <w:t>Attribution d’une dotation complémentaire</w:t>
      </w:r>
      <w:r w:rsidR="00324687">
        <w:rPr>
          <w:b/>
          <w:sz w:val="40"/>
        </w:rPr>
        <w:t xml:space="preserve"> aux </w:t>
      </w:r>
      <w:r w:rsidR="00607274" w:rsidRPr="00F81712">
        <w:rPr>
          <w:b/>
          <w:sz w:val="40"/>
        </w:rPr>
        <w:t>S</w:t>
      </w:r>
      <w:r w:rsidR="00324687" w:rsidRPr="00F81712">
        <w:rPr>
          <w:b/>
          <w:sz w:val="40"/>
        </w:rPr>
        <w:t xml:space="preserve">ervices </w:t>
      </w:r>
      <w:r w:rsidR="00607274" w:rsidRPr="00F81712">
        <w:rPr>
          <w:b/>
          <w:sz w:val="40"/>
        </w:rPr>
        <w:t xml:space="preserve">Autonomie à Domicile (SAD) </w:t>
      </w:r>
      <w:r w:rsidR="00324687" w:rsidRPr="00F81712">
        <w:rPr>
          <w:b/>
          <w:sz w:val="40"/>
        </w:rPr>
        <w:t>pour le</w:t>
      </w:r>
      <w:r w:rsidR="00324687">
        <w:rPr>
          <w:b/>
          <w:sz w:val="40"/>
        </w:rPr>
        <w:t xml:space="preserve"> financement d’actions améliorant la qualité du service rendu à l’usager</w:t>
      </w:r>
      <w:r w:rsidR="00E21A2F">
        <w:rPr>
          <w:b/>
          <w:sz w:val="40"/>
        </w:rPr>
        <w:t xml:space="preserve"> </w:t>
      </w:r>
      <w:r w:rsidR="00E21A2F" w:rsidRPr="00E21A2F">
        <w:rPr>
          <w:b/>
          <w:sz w:val="40"/>
        </w:rPr>
        <w:t>et la qualité de vie au travail des salariés</w:t>
      </w:r>
      <w:bookmarkStart w:id="1" w:name="_GoBack"/>
      <w:bookmarkEnd w:id="1"/>
    </w:p>
    <w:bookmarkEnd w:id="0"/>
    <w:p w:rsidR="00FA3797" w:rsidRPr="0065530F" w:rsidRDefault="00FA3797" w:rsidP="00FA3797">
      <w:pPr>
        <w:jc w:val="center"/>
        <w:rPr>
          <w:b/>
          <w:sz w:val="40"/>
        </w:rPr>
      </w:pPr>
    </w:p>
    <w:p w:rsidR="00324687" w:rsidRDefault="00680EE1" w:rsidP="006D538E">
      <w:pPr>
        <w:jc w:val="center"/>
        <w:rPr>
          <w:sz w:val="40"/>
        </w:rPr>
      </w:pPr>
      <w:r w:rsidRPr="00CD1196">
        <w:rPr>
          <w:sz w:val="40"/>
        </w:rPr>
        <w:t xml:space="preserve">Publié le </w:t>
      </w:r>
      <w:r w:rsidR="009E45CD" w:rsidRPr="00CD1196">
        <w:rPr>
          <w:sz w:val="40"/>
        </w:rPr>
        <w:t>02</w:t>
      </w:r>
      <w:r w:rsidR="00890642" w:rsidRPr="00CD1196">
        <w:rPr>
          <w:sz w:val="40"/>
        </w:rPr>
        <w:t>/</w:t>
      </w:r>
      <w:r w:rsidR="00CD1196" w:rsidRPr="00CD1196">
        <w:rPr>
          <w:sz w:val="40"/>
        </w:rPr>
        <w:t>11</w:t>
      </w:r>
      <w:r w:rsidR="00E93CE6" w:rsidRPr="00CD1196">
        <w:rPr>
          <w:sz w:val="40"/>
        </w:rPr>
        <w:t>/202</w:t>
      </w:r>
      <w:r w:rsidR="004E474B" w:rsidRPr="00CD1196">
        <w:rPr>
          <w:sz w:val="40"/>
        </w:rPr>
        <w:t>3</w:t>
      </w:r>
    </w:p>
    <w:p w:rsidR="00324687" w:rsidRDefault="00324687">
      <w:r>
        <w:br w:type="page"/>
      </w:r>
    </w:p>
    <w:p w:rsidR="00FA3797" w:rsidRPr="00F44509" w:rsidRDefault="0032468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F44509">
        <w:rPr>
          <w:b/>
          <w:u w:val="single"/>
        </w:rPr>
        <w:lastRenderedPageBreak/>
        <w:t xml:space="preserve">Contexte : </w:t>
      </w:r>
    </w:p>
    <w:p w:rsidR="00AE6EAA" w:rsidRDefault="00AE6EAA" w:rsidP="0076112E">
      <w:pPr>
        <w:jc w:val="both"/>
      </w:pPr>
      <w:r>
        <w:t xml:space="preserve">L’article 44 de la loi de financement de la sécurité sociale pour 2022 prévoit une refonte du modèle de financement </w:t>
      </w:r>
      <w:r w:rsidR="00DD40B3">
        <w:t>des</w:t>
      </w:r>
      <w:r>
        <w:t xml:space="preserve"> </w:t>
      </w:r>
      <w:r w:rsidR="00D65931">
        <w:t>Services d’aide et d’accompagnement à domicile (</w:t>
      </w:r>
      <w:r>
        <w:t>SAAD</w:t>
      </w:r>
      <w:r w:rsidR="00D65931">
        <w:t>)</w:t>
      </w:r>
      <w:r>
        <w:t>, visant à améliorer le</w:t>
      </w:r>
      <w:r w:rsidR="00D65931">
        <w:t>ur</w:t>
      </w:r>
      <w:r>
        <w:t xml:space="preserve">s conditions de solvabilisation ainsi que la qualité </w:t>
      </w:r>
      <w:r w:rsidR="00DD40B3">
        <w:t>de service</w:t>
      </w:r>
      <w:r>
        <w:t xml:space="preserve">. </w:t>
      </w:r>
    </w:p>
    <w:p w:rsidR="00324687" w:rsidRDefault="00AE6EAA" w:rsidP="0076112E">
      <w:pPr>
        <w:jc w:val="both"/>
      </w:pPr>
      <w:r>
        <w:t xml:space="preserve">Le premier volet de </w:t>
      </w:r>
      <w:r w:rsidRPr="00F81712">
        <w:t>cette refonte a consisté en la mise en place, au 1</w:t>
      </w:r>
      <w:r w:rsidRPr="00F81712">
        <w:rPr>
          <w:vertAlign w:val="superscript"/>
        </w:rPr>
        <w:t>er</w:t>
      </w:r>
      <w:r w:rsidRPr="00F81712">
        <w:t xml:space="preserve"> janvier 2022, d’un tarif minimal national de valorisation d’une heure d’aide à domicile</w:t>
      </w:r>
      <w:r w:rsidR="002F6A66" w:rsidRPr="00F81712">
        <w:t xml:space="preserve">, </w:t>
      </w:r>
      <w:r w:rsidRPr="00F81712">
        <w:t xml:space="preserve">fixé pour l’année 2022 à 22€ </w:t>
      </w:r>
      <w:r w:rsidR="004C0BD9" w:rsidRPr="00F81712">
        <w:t>par heure</w:t>
      </w:r>
      <w:r w:rsidR="00DA5148" w:rsidRPr="00F81712">
        <w:t>, puis pour l’année 2023 à 23€ par heure</w:t>
      </w:r>
      <w:r w:rsidR="004C0BD9" w:rsidRPr="00F81712">
        <w:t>.</w:t>
      </w:r>
      <w:r w:rsidR="004C0BD9">
        <w:t xml:space="preserve"> </w:t>
      </w:r>
    </w:p>
    <w:p w:rsidR="00AE6EAA" w:rsidRDefault="00AE6EAA" w:rsidP="0076112E">
      <w:pPr>
        <w:jc w:val="both"/>
      </w:pPr>
      <w:r>
        <w:t>Le second volet de cette refonte, consiste en la mise en place d’une dotation « complémentaire »,</w:t>
      </w:r>
      <w:r w:rsidR="004C0BD9">
        <w:t xml:space="preserve"> prévue au</w:t>
      </w:r>
      <w:r w:rsidR="004C0BD9" w:rsidRPr="004C0BD9">
        <w:t xml:space="preserve"> </w:t>
      </w:r>
      <w:r w:rsidR="004C0BD9">
        <w:t>3° du I de l’article L. 314-2-1 du code de l’action sociale et des familles (CASF),</w:t>
      </w:r>
      <w:r>
        <w:t xml:space="preserve"> visant à financer des actions améliorant la qualité du service rendu à l’usager.</w:t>
      </w:r>
      <w:r w:rsidR="004C0BD9">
        <w:t xml:space="preserve"> </w:t>
      </w:r>
    </w:p>
    <w:p w:rsidR="0076112E" w:rsidRDefault="004C0BD9" w:rsidP="0076112E">
      <w:pPr>
        <w:jc w:val="both"/>
      </w:pPr>
      <w:r>
        <w:t xml:space="preserve">Les actions ouvrant droit au financement par la dotation complémentaire doivent permettre </w:t>
      </w:r>
      <w:r w:rsidR="002F6A66">
        <w:t>de réaliser</w:t>
      </w:r>
      <w:r w:rsidR="00D65931">
        <w:t xml:space="preserve"> un</w:t>
      </w:r>
      <w:r>
        <w:t xml:space="preserve"> ou plusieurs des objectifs suivants, listés à l’article L. 314-2-2 du CASF : </w:t>
      </w:r>
    </w:p>
    <w:p w:rsidR="0076112E" w:rsidRDefault="004C0BD9" w:rsidP="0076112E">
      <w:pPr>
        <w:spacing w:after="0"/>
        <w:jc w:val="both"/>
      </w:pPr>
      <w:r>
        <w:t>1° Accompagner des personnes dont le profil de prise en char</w:t>
      </w:r>
      <w:r w:rsidR="0076112E">
        <w:t xml:space="preserve">ge présente des spécificités ; </w:t>
      </w:r>
    </w:p>
    <w:p w:rsidR="0076112E" w:rsidRDefault="004C0BD9" w:rsidP="0076112E">
      <w:pPr>
        <w:spacing w:after="0"/>
        <w:jc w:val="both"/>
      </w:pPr>
      <w:r>
        <w:t>2° Intervenir sur une amplitude horaire incluant les soirs, les we</w:t>
      </w:r>
      <w:r w:rsidR="0076112E">
        <w:t xml:space="preserve">ek-ends et les jours fériés ; </w:t>
      </w:r>
    </w:p>
    <w:p w:rsidR="0076112E" w:rsidRDefault="004C0BD9" w:rsidP="0076112E">
      <w:pPr>
        <w:spacing w:after="0"/>
        <w:jc w:val="both"/>
      </w:pPr>
      <w:r>
        <w:t xml:space="preserve">3° Contribuer à la couverture des besoins </w:t>
      </w:r>
      <w:r w:rsidR="0076112E">
        <w:t xml:space="preserve">de l'ensemble du territoire ; </w:t>
      </w:r>
    </w:p>
    <w:p w:rsidR="0076112E" w:rsidRDefault="004C0BD9" w:rsidP="0076112E">
      <w:pPr>
        <w:spacing w:after="0"/>
        <w:jc w:val="both"/>
      </w:pPr>
      <w:r>
        <w:t>4° Apporter un soutien aux aidants</w:t>
      </w:r>
      <w:r w:rsidR="0076112E">
        <w:t xml:space="preserve"> des personnes accompagnées ; </w:t>
      </w:r>
    </w:p>
    <w:p w:rsidR="0076112E" w:rsidRDefault="004C0BD9" w:rsidP="0076112E">
      <w:pPr>
        <w:spacing w:after="0"/>
        <w:jc w:val="both"/>
      </w:pPr>
      <w:r>
        <w:t xml:space="preserve">5° Améliorer la qualité de vie </w:t>
      </w:r>
      <w:r w:rsidR="0076112E">
        <w:t xml:space="preserve">au travail des intervenants ; </w:t>
      </w:r>
    </w:p>
    <w:p w:rsidR="00127C9C" w:rsidRDefault="004C0BD9" w:rsidP="0076112E">
      <w:pPr>
        <w:jc w:val="both"/>
      </w:pPr>
      <w:r>
        <w:t>6° Lutter contre l'isolement des personnes accompagnées.</w:t>
      </w:r>
    </w:p>
    <w:p w:rsidR="00A51787" w:rsidRPr="00122DF2" w:rsidRDefault="00996E76" w:rsidP="0076112E">
      <w:pPr>
        <w:jc w:val="both"/>
      </w:pPr>
      <w:r w:rsidRPr="00122DF2">
        <w:t xml:space="preserve">La solidarité entre les Loirétains et entre les territoires est un axe structurant des politiques publiques portées par le Conseil Départemental. </w:t>
      </w:r>
      <w:r w:rsidR="00960627" w:rsidRPr="00122DF2">
        <w:t xml:space="preserve">Le nouveau </w:t>
      </w:r>
      <w:r w:rsidR="00952E10">
        <w:t>s</w:t>
      </w:r>
      <w:r w:rsidR="00960627" w:rsidRPr="00122DF2">
        <w:t xml:space="preserve">chéma </w:t>
      </w:r>
      <w:r w:rsidR="00952E10">
        <w:t>d</w:t>
      </w:r>
      <w:r w:rsidR="00960627" w:rsidRPr="00122DF2">
        <w:t>épartemental</w:t>
      </w:r>
      <w:r w:rsidR="00122DF2" w:rsidRPr="00122DF2">
        <w:t xml:space="preserve"> de </w:t>
      </w:r>
      <w:r w:rsidR="00952E10">
        <w:t>c</w:t>
      </w:r>
      <w:r w:rsidR="00122DF2" w:rsidRPr="00122DF2">
        <w:t xml:space="preserve">ohésion </w:t>
      </w:r>
      <w:r w:rsidR="00952E10">
        <w:t>s</w:t>
      </w:r>
      <w:r w:rsidR="00122DF2" w:rsidRPr="00122DF2">
        <w:t>ociale</w:t>
      </w:r>
      <w:r w:rsidR="00960627" w:rsidRPr="00122DF2">
        <w:t xml:space="preserve"> 2022-2026 </w:t>
      </w:r>
      <w:r w:rsidR="00952E10">
        <w:t>vise à répondre aux enjeux de</w:t>
      </w:r>
      <w:r w:rsidR="00960627" w:rsidRPr="00122DF2">
        <w:t xml:space="preserve"> qualité de prise en charg</w:t>
      </w:r>
      <w:r w:rsidR="00A51787" w:rsidRPr="00122DF2">
        <w:t xml:space="preserve">e des usagers vivant à domicile et </w:t>
      </w:r>
      <w:r w:rsidR="00952E10">
        <w:t>d’accompagnement des</w:t>
      </w:r>
      <w:r w:rsidR="00A51787" w:rsidRPr="00122DF2">
        <w:t xml:space="preserve"> personnes dans leur autonomie</w:t>
      </w:r>
      <w:r w:rsidR="00952E10">
        <w:t>.</w:t>
      </w:r>
    </w:p>
    <w:p w:rsidR="00A51787" w:rsidRDefault="00A51787" w:rsidP="0076112E">
      <w:pPr>
        <w:jc w:val="both"/>
      </w:pPr>
      <w:r w:rsidRPr="00122DF2">
        <w:t xml:space="preserve">Cette dotation doit permettre un accompagnement à domicile des usagers, quel que soit leur degré de perte d’autonomie, sur des horaires atypiques (soir ou week-end), y compris dans les territoires les plus difficiles d’accès. </w:t>
      </w:r>
      <w:r w:rsidR="00952E10">
        <w:t xml:space="preserve">L’objectif est bien de répondre aux besoins d’accompagnement exprimés par les personnes. </w:t>
      </w:r>
      <w:r w:rsidRPr="00122DF2">
        <w:t>Elle doit aussi permettre de financer des actions en faveur de la qualité de vie au travail des salariés ainsi que des actions visant à lutter contre l’isolement des personnes accompagnées et à soutenir les proches aidants.</w:t>
      </w:r>
      <w:r w:rsidR="00952E10">
        <w:t xml:space="preserve"> </w:t>
      </w:r>
    </w:p>
    <w:p w:rsidR="00D65931" w:rsidRDefault="004C0BD9" w:rsidP="0076112E">
      <w:pPr>
        <w:jc w:val="both"/>
      </w:pPr>
      <w:r w:rsidRPr="0002796D">
        <w:t>Le présent appel à candidature</w:t>
      </w:r>
      <w:r w:rsidR="00614ACD" w:rsidRPr="0002796D">
        <w:t>s</w:t>
      </w:r>
      <w:r w:rsidRPr="0002796D">
        <w:t xml:space="preserve"> vise </w:t>
      </w:r>
      <w:r w:rsidR="00DA5148" w:rsidRPr="0002796D">
        <w:t xml:space="preserve">donc </w:t>
      </w:r>
      <w:r w:rsidRPr="0002796D">
        <w:t>à sélectionner les S</w:t>
      </w:r>
      <w:r w:rsidR="00DA5148" w:rsidRPr="0002796D">
        <w:t>ervices Autonomie à Domicile (SAD)</w:t>
      </w:r>
      <w:r w:rsidR="00DA5148" w:rsidRPr="0002796D">
        <w:rPr>
          <w:rStyle w:val="Appelnotedebasdep"/>
        </w:rPr>
        <w:footnoteReference w:id="1"/>
      </w:r>
      <w:r>
        <w:t xml:space="preserve"> pouvant bénéficier de </w:t>
      </w:r>
      <w:r w:rsidR="00DD40B3">
        <w:t>la</w:t>
      </w:r>
      <w:r>
        <w:t xml:space="preserve"> dotation complémentaire</w:t>
      </w:r>
      <w:r w:rsidR="00011977">
        <w:t xml:space="preserve"> pour </w:t>
      </w:r>
      <w:r w:rsidR="00DD40B3">
        <w:t xml:space="preserve">le financement </w:t>
      </w:r>
      <w:r w:rsidR="00011977">
        <w:t>d’actions répondant</w:t>
      </w:r>
      <w:r w:rsidR="00DD40B3">
        <w:t xml:space="preserve"> </w:t>
      </w:r>
      <w:r w:rsidR="00011977">
        <w:t xml:space="preserve">aux objectifs prioritaires du département. </w:t>
      </w:r>
    </w:p>
    <w:p w:rsidR="004C0BD9" w:rsidRDefault="00011977" w:rsidP="0076112E">
      <w:pPr>
        <w:jc w:val="both"/>
      </w:pPr>
      <w:r>
        <w:t xml:space="preserve">Les services retenus à l’issue de </w:t>
      </w:r>
      <w:r w:rsidR="00D23F37">
        <w:t>l’appel à candidature</w:t>
      </w:r>
      <w:r w:rsidR="00614ACD">
        <w:t>s</w:t>
      </w:r>
      <w:r>
        <w:t xml:space="preserve"> s’engage</w:t>
      </w:r>
      <w:r w:rsidR="00F03188">
        <w:t>ro</w:t>
      </w:r>
      <w:r w:rsidR="00D23F37">
        <w:t>nt</w:t>
      </w:r>
      <w:r>
        <w:t xml:space="preserve"> ensuite dans un processus de contractualisation avec les services du département. Ce processus </w:t>
      </w:r>
      <w:r w:rsidR="00CC7D07">
        <w:t>devra</w:t>
      </w:r>
      <w:r>
        <w:t xml:space="preserve"> conduire à la signature, au plus tard un an après la notification des résultats de l’appel à candidature</w:t>
      </w:r>
      <w:r w:rsidR="00614ACD">
        <w:t>s</w:t>
      </w:r>
      <w:r>
        <w:t xml:space="preserve">, </w:t>
      </w:r>
      <w:r w:rsidR="00F40C54">
        <w:t xml:space="preserve">d’un CPOM </w:t>
      </w:r>
      <w:r w:rsidR="00D65931">
        <w:t xml:space="preserve">tel que </w:t>
      </w:r>
      <w:r w:rsidR="00F40C54">
        <w:t>prévu par l’article L.313-11-1 du CASF, ou d’un avenant à celui-ci</w:t>
      </w:r>
      <w:r w:rsidR="00DD40B3">
        <w:t>. Le CPOM ou l’avenant précisent,</w:t>
      </w:r>
      <w:r w:rsidR="00F40C54">
        <w:t xml:space="preserve"> notamment, les conditions de mise en œuvre de la dotation complémentaire pour le service.</w:t>
      </w:r>
    </w:p>
    <w:p w:rsidR="00F40C54" w:rsidRDefault="00011977" w:rsidP="0076112E">
      <w:pPr>
        <w:jc w:val="both"/>
      </w:pPr>
      <w:r>
        <w:lastRenderedPageBreak/>
        <w:t>Conformément au décret n° 2022</w:t>
      </w:r>
      <w:r w:rsidR="003A2E28">
        <w:t>-735 du 28 avril 2022</w:t>
      </w:r>
      <w:r w:rsidR="0076112E">
        <w:t>, l</w:t>
      </w:r>
      <w:r>
        <w:t>e présent appel à candidature</w:t>
      </w:r>
      <w:r w:rsidR="00614ACD">
        <w:t>s</w:t>
      </w:r>
      <w:r>
        <w:t xml:space="preserve"> </w:t>
      </w:r>
      <w:r w:rsidR="00F40C54">
        <w:t>sera</w:t>
      </w:r>
      <w:r>
        <w:t xml:space="preserve"> renouvelé tous les ans </w:t>
      </w:r>
      <w:r w:rsidR="00F40C54">
        <w:t>jusqu’au 31 décembre 20</w:t>
      </w:r>
      <w:r w:rsidR="004E594E">
        <w:t>3</w:t>
      </w:r>
      <w:r w:rsidR="00F40C54">
        <w:t xml:space="preserve">0, ou lorsque l’ensemble des services du département aura intégré le dispositif. </w:t>
      </w:r>
    </w:p>
    <w:p w:rsidR="00614ACD" w:rsidRDefault="002A1B3F" w:rsidP="0076112E">
      <w:pPr>
        <w:jc w:val="both"/>
      </w:pPr>
      <w:r>
        <w:t xml:space="preserve">Une notice explicative relative à la mise en œuvre de la dotation complémentaire a été rédigée par la </w:t>
      </w:r>
      <w:r w:rsidRPr="0002796D">
        <w:t xml:space="preserve">direction générale de la cohésion sociale (DGCS) et est </w:t>
      </w:r>
      <w:r w:rsidR="0054715A" w:rsidRPr="0002796D">
        <w:t>annexée au présent document</w:t>
      </w:r>
      <w:r w:rsidR="006750EC" w:rsidRPr="0002796D">
        <w:t xml:space="preserve"> </w:t>
      </w:r>
      <w:r w:rsidR="006750EC" w:rsidRPr="0002796D">
        <w:rPr>
          <w:i/>
        </w:rPr>
        <w:t xml:space="preserve">(cf. annexe </w:t>
      </w:r>
      <w:r w:rsidR="00DA5148" w:rsidRPr="0002796D">
        <w:rPr>
          <w:i/>
        </w:rPr>
        <w:t>1</w:t>
      </w:r>
      <w:r w:rsidR="006750EC" w:rsidRPr="0002796D">
        <w:rPr>
          <w:i/>
        </w:rPr>
        <w:t>)</w:t>
      </w:r>
      <w:r w:rsidR="0054715A" w:rsidRPr="0002796D">
        <w:rPr>
          <w:i/>
        </w:rPr>
        <w:t>.</w:t>
      </w:r>
    </w:p>
    <w:p w:rsidR="004E474B" w:rsidRPr="0054715A" w:rsidRDefault="004E474B" w:rsidP="0076112E">
      <w:pPr>
        <w:jc w:val="both"/>
        <w:rPr>
          <w:b/>
        </w:rPr>
      </w:pPr>
    </w:p>
    <w:p w:rsidR="00D23F37" w:rsidRPr="00D23F37" w:rsidRDefault="00D23F3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D23F37">
        <w:rPr>
          <w:b/>
          <w:u w:val="single"/>
        </w:rPr>
        <w:t>Services éligibles</w:t>
      </w:r>
    </w:p>
    <w:p w:rsidR="003D5E9D" w:rsidRDefault="00D23F37" w:rsidP="0076112E">
      <w:pPr>
        <w:jc w:val="both"/>
      </w:pPr>
      <w:r w:rsidRPr="0002796D">
        <w:t xml:space="preserve">Est éligible à la dotation complémentaire, tout service </w:t>
      </w:r>
      <w:r w:rsidR="00FD58F6" w:rsidRPr="0002796D">
        <w:t>autonomie</w:t>
      </w:r>
      <w:r w:rsidRPr="0002796D">
        <w:t xml:space="preserve"> à domicile prestataire</w:t>
      </w:r>
      <w:r w:rsidR="003A2E28" w:rsidRPr="0002796D">
        <w:t xml:space="preserve"> au titre de son</w:t>
      </w:r>
      <w:r w:rsidR="003A2E28">
        <w:t xml:space="preserve"> activité d’aide</w:t>
      </w:r>
      <w:r>
        <w:t xml:space="preserve"> relevant des 6° et</w:t>
      </w:r>
      <w:r w:rsidR="003A2E28">
        <w:t>/ou</w:t>
      </w:r>
      <w:r>
        <w:t xml:space="preserve"> 7°</w:t>
      </w:r>
      <w:r w:rsidR="00CC7D07">
        <w:t xml:space="preserve"> du I de l’article L. 312-1 du </w:t>
      </w:r>
      <w:r w:rsidR="00B70520">
        <w:t>C</w:t>
      </w:r>
      <w:r>
        <w:t>ode de l’action sociale et des familles</w:t>
      </w:r>
      <w:r w:rsidR="001C6465">
        <w:t>.</w:t>
      </w:r>
    </w:p>
    <w:p w:rsidR="003B5415" w:rsidRDefault="003B5415" w:rsidP="007611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 service autorisé sur le </w:t>
      </w:r>
      <w:r w:rsidRPr="00122DF2">
        <w:rPr>
          <w:sz w:val="22"/>
          <w:szCs w:val="22"/>
        </w:rPr>
        <w:t xml:space="preserve">territoire </w:t>
      </w:r>
      <w:r w:rsidR="003E7BC0" w:rsidRPr="00122DF2">
        <w:rPr>
          <w:sz w:val="22"/>
          <w:szCs w:val="22"/>
        </w:rPr>
        <w:t>du Loiret</w:t>
      </w:r>
      <w:r w:rsidRPr="00122DF2">
        <w:rPr>
          <w:sz w:val="22"/>
          <w:szCs w:val="22"/>
        </w:rPr>
        <w:t xml:space="preserve"> peut</w:t>
      </w:r>
      <w:r>
        <w:rPr>
          <w:sz w:val="22"/>
          <w:szCs w:val="22"/>
        </w:rPr>
        <w:t xml:space="preserve"> donc candidater au présent appel à candidature</w:t>
      </w:r>
      <w:r w:rsidR="00614ACD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:rsidR="003B5415" w:rsidRDefault="003B5415" w:rsidP="0076112E">
      <w:pPr>
        <w:pStyle w:val="Default"/>
        <w:jc w:val="both"/>
        <w:rPr>
          <w:sz w:val="22"/>
          <w:szCs w:val="22"/>
        </w:rPr>
      </w:pPr>
    </w:p>
    <w:p w:rsidR="003D5E9D" w:rsidRDefault="003B5415" w:rsidP="003D5E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statut juridique, l’habilitation à l’aide sociale ou un volume minimal d’heures prestées au titre de l’APA et de la PCH</w:t>
      </w:r>
      <w:r w:rsidR="003A7A96">
        <w:rPr>
          <w:sz w:val="22"/>
          <w:szCs w:val="22"/>
        </w:rPr>
        <w:t>,</w:t>
      </w:r>
      <w:r>
        <w:rPr>
          <w:sz w:val="22"/>
          <w:szCs w:val="22"/>
        </w:rPr>
        <w:t xml:space="preserve"> ne constituent pas des critères d’éligibilité</w:t>
      </w:r>
      <w:r w:rsidR="00680861">
        <w:rPr>
          <w:sz w:val="22"/>
          <w:szCs w:val="22"/>
        </w:rPr>
        <w:t>.</w:t>
      </w:r>
    </w:p>
    <w:p w:rsidR="003B5415" w:rsidRDefault="003B5415" w:rsidP="003D5E9D">
      <w:pPr>
        <w:pStyle w:val="Default"/>
        <w:jc w:val="both"/>
        <w:rPr>
          <w:sz w:val="22"/>
          <w:szCs w:val="22"/>
        </w:rPr>
      </w:pPr>
    </w:p>
    <w:p w:rsidR="00940052" w:rsidRPr="003D5E9D" w:rsidRDefault="00940052" w:rsidP="003D5E9D">
      <w:pPr>
        <w:pStyle w:val="Default"/>
        <w:jc w:val="both"/>
        <w:rPr>
          <w:sz w:val="22"/>
          <w:szCs w:val="22"/>
        </w:rPr>
      </w:pPr>
    </w:p>
    <w:p w:rsidR="00324687" w:rsidRDefault="00E3170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Objectifs</w:t>
      </w:r>
      <w:r w:rsidR="00FF1583">
        <w:rPr>
          <w:b/>
          <w:u w:val="single"/>
        </w:rPr>
        <w:t xml:space="preserve"> prioritaires du D</w:t>
      </w:r>
      <w:r w:rsidR="00AE6EAA">
        <w:rPr>
          <w:b/>
          <w:u w:val="single"/>
        </w:rPr>
        <w:t>épartement</w:t>
      </w:r>
      <w:r w:rsidR="002E0323">
        <w:rPr>
          <w:b/>
          <w:u w:val="single"/>
        </w:rPr>
        <w:t xml:space="preserve"> et </w:t>
      </w:r>
      <w:r w:rsidR="002F6A66">
        <w:rPr>
          <w:b/>
          <w:u w:val="single"/>
        </w:rPr>
        <w:t>éléments financiers utiles à la détermination du montant de la dotation</w:t>
      </w:r>
    </w:p>
    <w:p w:rsidR="002E0323" w:rsidRPr="00AE6EAA" w:rsidRDefault="002E0323" w:rsidP="0076112E">
      <w:pPr>
        <w:pStyle w:val="Paragraphedeliste"/>
        <w:ind w:left="1080"/>
        <w:jc w:val="both"/>
        <w:rPr>
          <w:b/>
          <w:u w:val="single"/>
        </w:rPr>
      </w:pPr>
    </w:p>
    <w:p w:rsidR="00105150" w:rsidRPr="00BE5F13" w:rsidRDefault="002E0323" w:rsidP="00BE5F13">
      <w:pPr>
        <w:pStyle w:val="Paragraphedeliste"/>
        <w:numPr>
          <w:ilvl w:val="0"/>
          <w:numId w:val="21"/>
        </w:numPr>
        <w:jc w:val="both"/>
        <w:rPr>
          <w:u w:val="single"/>
        </w:rPr>
      </w:pPr>
      <w:r w:rsidRPr="00105150">
        <w:rPr>
          <w:u w:val="single"/>
        </w:rPr>
        <w:t xml:space="preserve">Présentation des objectifs </w:t>
      </w:r>
      <w:r w:rsidR="00105150" w:rsidRPr="00105150">
        <w:rPr>
          <w:u w:val="single"/>
        </w:rPr>
        <w:t>priorisés</w:t>
      </w:r>
      <w:r w:rsidRPr="00105150">
        <w:rPr>
          <w:u w:val="single"/>
        </w:rPr>
        <w:t xml:space="preserve"> par le</w:t>
      </w:r>
      <w:r w:rsidR="001C6465" w:rsidRPr="00105150">
        <w:rPr>
          <w:u w:val="single"/>
        </w:rPr>
        <w:t xml:space="preserve"> D</w:t>
      </w:r>
      <w:r w:rsidR="00105150">
        <w:rPr>
          <w:u w:val="single"/>
        </w:rPr>
        <w:t>épartement</w:t>
      </w:r>
    </w:p>
    <w:p w:rsidR="003B129B" w:rsidRDefault="00AB01B9" w:rsidP="0076112E">
      <w:pPr>
        <w:jc w:val="both"/>
      </w:pPr>
      <w:bookmarkStart w:id="2" w:name="_Hlk149034162"/>
      <w:r w:rsidRPr="00122DF2">
        <w:t>En lien avec les orientations départementales</w:t>
      </w:r>
      <w:r w:rsidR="00105150">
        <w:t xml:space="preserve"> et au regard des besoins identifiés sur le territoire</w:t>
      </w:r>
      <w:r w:rsidRPr="00122DF2">
        <w:t>,</w:t>
      </w:r>
      <w:r w:rsidR="00105150">
        <w:t xml:space="preserve"> le Département a fait le choix de retenir principalement quatre des six objectifs </w:t>
      </w:r>
      <w:r w:rsidR="00105150" w:rsidRPr="00105150">
        <w:t xml:space="preserve">énumérés </w:t>
      </w:r>
      <w:r w:rsidR="00105150">
        <w:t>à</w:t>
      </w:r>
      <w:r w:rsidR="00952E10">
        <w:t xml:space="preserve"> l’article L. </w:t>
      </w:r>
      <w:r w:rsidR="00105150" w:rsidRPr="00105150">
        <w:t>314-2-2 du CASF</w:t>
      </w:r>
      <w:r w:rsidR="004E0054">
        <w:t xml:space="preserve"> : </w:t>
      </w:r>
    </w:p>
    <w:bookmarkEnd w:id="2"/>
    <w:p w:rsidR="003B129B" w:rsidRPr="004E0054" w:rsidRDefault="003B129B" w:rsidP="003B129B">
      <w:pPr>
        <w:pStyle w:val="Paragraphedeliste"/>
        <w:numPr>
          <w:ilvl w:val="0"/>
          <w:numId w:val="20"/>
        </w:numPr>
        <w:jc w:val="both"/>
        <w:rPr>
          <w:b/>
          <w:i/>
        </w:rPr>
      </w:pPr>
      <w:r w:rsidRPr="004E0054">
        <w:rPr>
          <w:b/>
          <w:i/>
        </w:rPr>
        <w:t>« Améliorer la qualité de vie au travail des intervenants »</w:t>
      </w:r>
    </w:p>
    <w:p w:rsidR="004E0054" w:rsidRDefault="003B129B" w:rsidP="009452AB">
      <w:pPr>
        <w:pStyle w:val="Paragraphedeliste"/>
        <w:jc w:val="both"/>
      </w:pPr>
      <w:r w:rsidRPr="00122DF2">
        <w:t xml:space="preserve">Le Département du Loiret a fait de l’attractivité et de la qualité de vie au travail des métiers de l’autonomie une ambition forte du </w:t>
      </w:r>
      <w:r w:rsidR="00952E10">
        <w:t>s</w:t>
      </w:r>
      <w:r w:rsidRPr="00122DF2">
        <w:t>chéma 2022-</w:t>
      </w:r>
      <w:r w:rsidR="009452AB">
        <w:t>2026, notamment par le d</w:t>
      </w:r>
      <w:r w:rsidRPr="00122DF2">
        <w:t xml:space="preserve">éploiement de la plateforme domiciliaire relative à l’attractivité des métiers de l'autonomie. </w:t>
      </w:r>
    </w:p>
    <w:p w:rsidR="004E0054" w:rsidRPr="00122DF2" w:rsidRDefault="004E0054" w:rsidP="004E0054">
      <w:pPr>
        <w:pStyle w:val="Paragraphedeliste"/>
        <w:jc w:val="both"/>
      </w:pPr>
    </w:p>
    <w:p w:rsidR="00AB01B9" w:rsidRPr="004E0054" w:rsidRDefault="00AB01B9" w:rsidP="00AB01B9">
      <w:pPr>
        <w:pStyle w:val="Paragraphedeliste"/>
        <w:numPr>
          <w:ilvl w:val="0"/>
          <w:numId w:val="20"/>
        </w:numPr>
        <w:jc w:val="both"/>
        <w:rPr>
          <w:b/>
          <w:i/>
        </w:rPr>
      </w:pPr>
      <w:r w:rsidRPr="004E0054">
        <w:rPr>
          <w:b/>
          <w:i/>
        </w:rPr>
        <w:t>« Intervenir sur une amplitude horaire incluant les soirs, les week-ends et les jours fériés »</w:t>
      </w:r>
    </w:p>
    <w:p w:rsidR="00DA6F3D" w:rsidRPr="00122DF2" w:rsidRDefault="00DA6F3D" w:rsidP="00483E0A">
      <w:pPr>
        <w:pStyle w:val="Paragraphedeliste"/>
        <w:jc w:val="both"/>
      </w:pPr>
      <w:r w:rsidRPr="00122DF2">
        <w:t xml:space="preserve">Le virage domiciliaire initié au plan national et départemental nécessite une amplitude horaire élargie, afin d’éviter des ruptures de prise en charge et </w:t>
      </w:r>
      <w:r w:rsidR="00F617E3">
        <w:t>de sécuriser le</w:t>
      </w:r>
      <w:r w:rsidRPr="00122DF2">
        <w:t xml:space="preserve"> maintien à domicile des usagers.</w:t>
      </w:r>
    </w:p>
    <w:p w:rsidR="00266CC2" w:rsidRDefault="00266CC2" w:rsidP="00266CC2">
      <w:pPr>
        <w:pStyle w:val="Paragraphedeliste"/>
        <w:jc w:val="both"/>
        <w:rPr>
          <w:b/>
          <w:i/>
        </w:rPr>
      </w:pPr>
    </w:p>
    <w:p w:rsidR="00B43F06" w:rsidRPr="00266CC2" w:rsidRDefault="00266CC2" w:rsidP="00266CC2">
      <w:pPr>
        <w:pStyle w:val="Paragraphedeliste"/>
        <w:numPr>
          <w:ilvl w:val="0"/>
          <w:numId w:val="20"/>
        </w:numPr>
        <w:jc w:val="both"/>
        <w:rPr>
          <w:b/>
          <w:i/>
        </w:rPr>
      </w:pPr>
      <w:r w:rsidRPr="00266CC2">
        <w:rPr>
          <w:b/>
          <w:i/>
        </w:rPr>
        <w:t xml:space="preserve"> </w:t>
      </w:r>
      <w:r w:rsidR="00B43F06" w:rsidRPr="00266CC2">
        <w:rPr>
          <w:b/>
          <w:i/>
        </w:rPr>
        <w:t>« Accompagner les personnes dont le profil de prise en charge présente des spécificités »</w:t>
      </w:r>
    </w:p>
    <w:p w:rsidR="00483E0A" w:rsidRPr="00122DF2" w:rsidRDefault="00483E0A" w:rsidP="001070FD">
      <w:pPr>
        <w:pStyle w:val="Paragraphedeliste"/>
        <w:jc w:val="both"/>
      </w:pPr>
      <w:r w:rsidRPr="00122DF2">
        <w:t xml:space="preserve">Une prise en charge de qualité et adaptée à tout type de public permet de préserver le libre choix </w:t>
      </w:r>
      <w:r w:rsidR="00BB6096" w:rsidRPr="00122DF2">
        <w:t>du lieu de vie des personnes dans des conditions permettant l’inclusion</w:t>
      </w:r>
      <w:r w:rsidR="00D85FB3" w:rsidRPr="00122DF2">
        <w:t xml:space="preserve"> et la lutte contre l’isolement.</w:t>
      </w:r>
    </w:p>
    <w:p w:rsidR="00122DF2" w:rsidRPr="00122DF2" w:rsidRDefault="00122DF2" w:rsidP="001070FD">
      <w:pPr>
        <w:pStyle w:val="Paragraphedeliste"/>
        <w:jc w:val="both"/>
      </w:pPr>
    </w:p>
    <w:p w:rsidR="00B43F06" w:rsidRPr="004E0054" w:rsidRDefault="00B43F06" w:rsidP="00B43F06">
      <w:pPr>
        <w:pStyle w:val="Paragraphedeliste"/>
        <w:numPr>
          <w:ilvl w:val="0"/>
          <w:numId w:val="20"/>
        </w:numPr>
        <w:jc w:val="both"/>
        <w:rPr>
          <w:b/>
          <w:i/>
        </w:rPr>
      </w:pPr>
      <w:r w:rsidRPr="004E0054">
        <w:rPr>
          <w:b/>
          <w:i/>
        </w:rPr>
        <w:t>« Apporter un soutien aux aidants des personnes accompagnées »</w:t>
      </w:r>
    </w:p>
    <w:p w:rsidR="003942F8" w:rsidRPr="00122DF2" w:rsidRDefault="008E7082" w:rsidP="003942F8">
      <w:pPr>
        <w:pStyle w:val="Paragraphedeliste"/>
        <w:jc w:val="both"/>
      </w:pPr>
      <w:r w:rsidRPr="00122DF2">
        <w:t xml:space="preserve">Le rôle des aidants étant primordial dans la prise en charge et le maintien de l’autonomie des personnes, un accompagnement spécifique et des actions permettant de prendre soin et </w:t>
      </w:r>
      <w:r w:rsidR="00F617E3">
        <w:t>d’</w:t>
      </w:r>
      <w:r w:rsidR="003942F8" w:rsidRPr="00122DF2">
        <w:t>octroyer</w:t>
      </w:r>
      <w:r w:rsidRPr="00122DF2">
        <w:t xml:space="preserve"> du répit </w:t>
      </w:r>
      <w:r w:rsidR="003942F8" w:rsidRPr="00122DF2">
        <w:t>aux</w:t>
      </w:r>
      <w:r w:rsidRPr="00122DF2">
        <w:t xml:space="preserve"> aidants sont </w:t>
      </w:r>
      <w:r w:rsidR="003942F8" w:rsidRPr="00122DF2">
        <w:t>indispensables.</w:t>
      </w:r>
    </w:p>
    <w:p w:rsidR="003942F8" w:rsidRDefault="00E25614" w:rsidP="0076112E">
      <w:pPr>
        <w:jc w:val="both"/>
      </w:pPr>
      <w:bookmarkStart w:id="3" w:name="_Hlk149034191"/>
      <w:r w:rsidRPr="0024140B">
        <w:t xml:space="preserve">Dans le cadre de leur candidature, les services qui le souhaitent, peuvent </w:t>
      </w:r>
      <w:r w:rsidR="001E39E3">
        <w:t>toutefois</w:t>
      </w:r>
      <w:r w:rsidRPr="0024140B">
        <w:t xml:space="preserve"> proposer des actions visant à atteindre d’autres objectifs, parmi ceux listés par la loi.</w:t>
      </w:r>
    </w:p>
    <w:bookmarkEnd w:id="3"/>
    <w:p w:rsidR="00E71FF2" w:rsidRDefault="00BE5F13" w:rsidP="00E71FF2">
      <w:pPr>
        <w:jc w:val="both"/>
      </w:pPr>
      <w:r w:rsidRPr="00BE5F13">
        <w:lastRenderedPageBreak/>
        <w:t>Le Département a fait le choix de ne pré-flécher aucune action</w:t>
      </w:r>
      <w:r>
        <w:t xml:space="preserve"> par objectif</w:t>
      </w:r>
      <w:r w:rsidRPr="00BE5F13">
        <w:t>, laissant aux services toute latitude quant aux actions proposées</w:t>
      </w:r>
      <w:r>
        <w:t>.</w:t>
      </w:r>
      <w:r w:rsidRPr="00BE5F13">
        <w:t xml:space="preserve"> Celles-ci devront</w:t>
      </w:r>
      <w:r>
        <w:t xml:space="preserve"> naturellement</w:t>
      </w:r>
      <w:r w:rsidRPr="00BE5F13">
        <w:t xml:space="preserve"> être conformes aux besoins identifiés sur les différents territoires</w:t>
      </w:r>
      <w:r w:rsidR="005E68DC">
        <w:t xml:space="preserve"> étant entendu que </w:t>
      </w:r>
      <w:r w:rsidR="00E71FF2">
        <w:t>la sélection du SA</w:t>
      </w:r>
      <w:r w:rsidR="00FD58F6">
        <w:t>D</w:t>
      </w:r>
      <w:r w:rsidR="00E71FF2">
        <w:t xml:space="preserve"> n’entraîne</w:t>
      </w:r>
      <w:r w:rsidR="005E68DC">
        <w:t>ra</w:t>
      </w:r>
      <w:r w:rsidR="00E71FF2">
        <w:t xml:space="preserve"> pas </w:t>
      </w:r>
      <w:r w:rsidR="00CA7B1E">
        <w:t>nécessairement</w:t>
      </w:r>
      <w:r w:rsidR="00E71FF2">
        <w:t xml:space="preserve"> l’inscription dans le CPOM de l’ensemble des actions proposées dans la candidature.</w:t>
      </w:r>
    </w:p>
    <w:p w:rsidR="004E474B" w:rsidRPr="00E25614" w:rsidRDefault="004E474B" w:rsidP="0076112E">
      <w:pPr>
        <w:jc w:val="both"/>
      </w:pPr>
    </w:p>
    <w:p w:rsidR="00066CC5" w:rsidRPr="00AC32CD" w:rsidRDefault="00BE5F13" w:rsidP="00BE5F13">
      <w:pPr>
        <w:pStyle w:val="Paragraphedeliste"/>
        <w:numPr>
          <w:ilvl w:val="0"/>
          <w:numId w:val="21"/>
        </w:numPr>
        <w:jc w:val="both"/>
      </w:pPr>
      <w:r>
        <w:rPr>
          <w:u w:val="single"/>
        </w:rPr>
        <w:t>Eléments financiers encadrant le présent appel à candidatures</w:t>
      </w:r>
    </w:p>
    <w:p w:rsidR="00E25614" w:rsidRDefault="00122DF2" w:rsidP="00E25614">
      <w:pPr>
        <w:jc w:val="both"/>
      </w:pPr>
      <w:r w:rsidRPr="0044775B">
        <w:t xml:space="preserve">Les actions </w:t>
      </w:r>
      <w:r w:rsidR="00E25614" w:rsidRPr="0044775B">
        <w:t xml:space="preserve">correspondantes aux </w:t>
      </w:r>
      <w:r w:rsidRPr="0044775B">
        <w:t xml:space="preserve">quatre objectifs priorisés par le Département devront </w:t>
      </w:r>
      <w:r w:rsidR="003A7A96" w:rsidRPr="0044775B">
        <w:t xml:space="preserve">s’inscrire dans la limite </w:t>
      </w:r>
      <w:r w:rsidRPr="0044775B">
        <w:t xml:space="preserve">de la dotation </w:t>
      </w:r>
      <w:r w:rsidR="00E3377E">
        <w:t xml:space="preserve">complémentaire pouvant être </w:t>
      </w:r>
      <w:r w:rsidR="00BE3328">
        <w:t>attribuée au service sur la durée totale du CPOM.</w:t>
      </w:r>
    </w:p>
    <w:p w:rsidR="0044775B" w:rsidRPr="0044775B" w:rsidRDefault="00E3377E" w:rsidP="0044775B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Cette</w:t>
      </w:r>
      <w:r w:rsidR="0044775B" w:rsidRPr="0044775B">
        <w:rPr>
          <w:rFonts w:cstheme="minorHAnsi"/>
          <w:szCs w:val="20"/>
        </w:rPr>
        <w:t xml:space="preserve"> dotation </w:t>
      </w:r>
      <w:r>
        <w:rPr>
          <w:rFonts w:cstheme="minorHAnsi"/>
          <w:szCs w:val="20"/>
        </w:rPr>
        <w:t>sera</w:t>
      </w:r>
      <w:r w:rsidR="0044775B" w:rsidRPr="0044775B">
        <w:rPr>
          <w:rFonts w:cstheme="minorHAnsi"/>
          <w:szCs w:val="20"/>
        </w:rPr>
        <w:t xml:space="preserve"> calculée de la façon suivante : </w:t>
      </w:r>
    </w:p>
    <w:p w:rsidR="0044775B" w:rsidRPr="0044775B" w:rsidRDefault="0044775B" w:rsidP="00940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Cs w:val="20"/>
        </w:rPr>
      </w:pPr>
      <w:r w:rsidRPr="0002796D">
        <w:rPr>
          <w:rFonts w:cstheme="minorHAnsi"/>
          <w:b/>
          <w:i/>
          <w:szCs w:val="20"/>
        </w:rPr>
        <w:t>Nombre d’heures AP</w:t>
      </w:r>
      <w:r w:rsidR="00E3377E" w:rsidRPr="0002796D">
        <w:rPr>
          <w:rFonts w:cstheme="minorHAnsi"/>
          <w:b/>
          <w:i/>
          <w:szCs w:val="20"/>
        </w:rPr>
        <w:t>A et PCH prévisionnelles sur l’année 202</w:t>
      </w:r>
      <w:r w:rsidR="004E474B" w:rsidRPr="0002796D">
        <w:rPr>
          <w:rFonts w:cstheme="minorHAnsi"/>
          <w:b/>
          <w:i/>
          <w:szCs w:val="20"/>
        </w:rPr>
        <w:t>4</w:t>
      </w:r>
      <w:r w:rsidR="00E3377E" w:rsidRPr="0002796D">
        <w:rPr>
          <w:rFonts w:cstheme="minorHAnsi"/>
          <w:b/>
          <w:i/>
          <w:szCs w:val="20"/>
        </w:rPr>
        <w:t xml:space="preserve"> </w:t>
      </w:r>
      <w:r w:rsidRPr="0002796D">
        <w:rPr>
          <w:rFonts w:cstheme="minorHAnsi"/>
          <w:b/>
          <w:i/>
          <w:szCs w:val="20"/>
        </w:rPr>
        <w:t>x 5 ans x 3</w:t>
      </w:r>
      <w:r w:rsidR="004E474B" w:rsidRPr="0002796D">
        <w:rPr>
          <w:rFonts w:cstheme="minorHAnsi"/>
          <w:b/>
          <w:i/>
          <w:szCs w:val="20"/>
        </w:rPr>
        <w:t>,144</w:t>
      </w:r>
      <w:r w:rsidRPr="0002796D">
        <w:rPr>
          <w:rFonts w:cstheme="minorHAnsi"/>
          <w:b/>
          <w:i/>
          <w:szCs w:val="20"/>
        </w:rPr>
        <w:t>€</w:t>
      </w:r>
      <w:r w:rsidR="00FD58F6" w:rsidRPr="0002796D">
        <w:rPr>
          <w:rStyle w:val="Appelnotedebasdep"/>
          <w:rFonts w:cstheme="minorHAnsi"/>
          <w:b/>
          <w:i/>
          <w:szCs w:val="20"/>
        </w:rPr>
        <w:footnoteReference w:id="2"/>
      </w:r>
    </w:p>
    <w:p w:rsidR="00E3377E" w:rsidRPr="00E3377E" w:rsidRDefault="00E3377E" w:rsidP="00E3377E">
      <w:pPr>
        <w:jc w:val="both"/>
        <w:rPr>
          <w:rFonts w:cstheme="minorHAnsi"/>
          <w:szCs w:val="20"/>
        </w:rPr>
      </w:pPr>
      <w:r w:rsidRPr="00E3377E">
        <w:rPr>
          <w:rFonts w:cstheme="minorHAnsi"/>
          <w:szCs w:val="20"/>
        </w:rPr>
        <w:t xml:space="preserve">Le montant de la dotation qui sera versé à l’organisme gestionnaire </w:t>
      </w:r>
      <w:r>
        <w:rPr>
          <w:rFonts w:cstheme="minorHAnsi"/>
          <w:szCs w:val="20"/>
        </w:rPr>
        <w:t>tiendra</w:t>
      </w:r>
      <w:r w:rsidRPr="00E3377E">
        <w:rPr>
          <w:rFonts w:cstheme="minorHAnsi"/>
          <w:szCs w:val="20"/>
        </w:rPr>
        <w:t xml:space="preserve"> compte de la nature des différentes actions retenues, de la fréquence de chacune d’entre elles et de leur coût pour les services. </w:t>
      </w:r>
      <w:r w:rsidR="008B65AD">
        <w:rPr>
          <w:rFonts w:cstheme="minorHAnsi"/>
          <w:szCs w:val="20"/>
        </w:rPr>
        <w:t>De plus, il sera indexé sur l’inflation.</w:t>
      </w:r>
    </w:p>
    <w:p w:rsidR="00BE3328" w:rsidRDefault="00BE3328" w:rsidP="00BE3328">
      <w:pPr>
        <w:jc w:val="both"/>
      </w:pPr>
      <w:r w:rsidRPr="00122DF2">
        <w:t>Les actions proposées par les services seront financ</w:t>
      </w:r>
      <w:r>
        <w:t xml:space="preserve">ées sous la forme </w:t>
      </w:r>
      <w:r w:rsidRPr="009929A8">
        <w:t>d’un forfait, versé</w:t>
      </w:r>
      <w:r>
        <w:t xml:space="preserve"> annuellement. La dotation annuelle attribuée aux services fera l’objet de deux versements : </w:t>
      </w:r>
    </w:p>
    <w:p w:rsidR="00BE3328" w:rsidRPr="00736B1A" w:rsidRDefault="00BE3328" w:rsidP="00BE3328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Cs w:val="20"/>
        </w:rPr>
      </w:pPr>
      <w:r w:rsidRPr="00736B1A">
        <w:rPr>
          <w:rFonts w:cstheme="minorHAnsi"/>
          <w:szCs w:val="20"/>
        </w:rPr>
        <w:t>Versement d’un acompte équivalent à 70 % de la dotation cible prévisionnelle annuelle au 1</w:t>
      </w:r>
      <w:r w:rsidRPr="00736B1A">
        <w:rPr>
          <w:rFonts w:cstheme="minorHAnsi"/>
          <w:szCs w:val="20"/>
          <w:vertAlign w:val="superscript"/>
        </w:rPr>
        <w:t>er</w:t>
      </w:r>
      <w:r w:rsidRPr="00736B1A">
        <w:rPr>
          <w:rFonts w:cstheme="minorHAnsi"/>
          <w:szCs w:val="20"/>
        </w:rPr>
        <w:t xml:space="preserve"> </w:t>
      </w:r>
      <w:r w:rsidR="001D2F1D">
        <w:rPr>
          <w:rFonts w:cstheme="minorHAnsi"/>
          <w:szCs w:val="20"/>
        </w:rPr>
        <w:t>avril</w:t>
      </w:r>
      <w:r w:rsidRPr="00736B1A">
        <w:rPr>
          <w:rFonts w:cstheme="minorHAnsi"/>
          <w:szCs w:val="20"/>
        </w:rPr>
        <w:t xml:space="preserve"> de chaque année (sous réserve de la notification préalable de la CNSA).</w:t>
      </w:r>
    </w:p>
    <w:p w:rsidR="001E1FD2" w:rsidRDefault="00BE3328" w:rsidP="001E1FD2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szCs w:val="20"/>
        </w:rPr>
      </w:pPr>
      <w:r w:rsidRPr="00736B1A">
        <w:rPr>
          <w:rFonts w:cstheme="minorHAnsi"/>
          <w:szCs w:val="20"/>
        </w:rPr>
        <w:t>Versement du solde de 30 % au 1</w:t>
      </w:r>
      <w:r w:rsidRPr="00736B1A">
        <w:rPr>
          <w:rFonts w:cstheme="minorHAnsi"/>
          <w:szCs w:val="20"/>
          <w:vertAlign w:val="superscript"/>
        </w:rPr>
        <w:t>er</w:t>
      </w:r>
      <w:r w:rsidRPr="00736B1A">
        <w:rPr>
          <w:rFonts w:cstheme="minorHAnsi"/>
          <w:szCs w:val="20"/>
        </w:rPr>
        <w:t xml:space="preserve"> avril</w:t>
      </w:r>
      <w:r w:rsidR="00956B61">
        <w:rPr>
          <w:rFonts w:cstheme="minorHAnsi"/>
          <w:szCs w:val="20"/>
        </w:rPr>
        <w:t xml:space="preserve"> de l’année N+1 (conditionné à la transmission des indicateurs de suivi des actions inscrits dans le CPOM). </w:t>
      </w:r>
    </w:p>
    <w:p w:rsidR="001E1FD2" w:rsidRPr="001E1FD2" w:rsidRDefault="001E1FD2" w:rsidP="001E1FD2">
      <w:pPr>
        <w:pStyle w:val="Paragraphedeliste"/>
        <w:spacing w:after="0" w:line="240" w:lineRule="auto"/>
        <w:jc w:val="both"/>
        <w:rPr>
          <w:rFonts w:cstheme="minorHAnsi"/>
          <w:szCs w:val="20"/>
        </w:rPr>
      </w:pPr>
    </w:p>
    <w:p w:rsidR="00D14C6C" w:rsidRDefault="001E1FD2" w:rsidP="0076112E">
      <w:pPr>
        <w:jc w:val="both"/>
      </w:pPr>
      <w:r>
        <w:t xml:space="preserve">S’agissant plus particulièrement de l’année de signature du CPOM, le versement </w:t>
      </w:r>
      <w:r w:rsidR="00EC4D87">
        <w:t xml:space="preserve">de l’acompte de 70% interviendra au moment de la signature du contrat. </w:t>
      </w:r>
    </w:p>
    <w:p w:rsidR="00940052" w:rsidRPr="003D16E3" w:rsidRDefault="00940052" w:rsidP="0076112E">
      <w:pPr>
        <w:jc w:val="both"/>
      </w:pPr>
    </w:p>
    <w:p w:rsidR="00324687" w:rsidRPr="00424209" w:rsidRDefault="00D23F37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424209">
        <w:rPr>
          <w:b/>
          <w:u w:val="single"/>
        </w:rPr>
        <w:t>P</w:t>
      </w:r>
      <w:r w:rsidR="002F6A66" w:rsidRPr="00424209">
        <w:rPr>
          <w:b/>
          <w:u w:val="single"/>
        </w:rPr>
        <w:t>rincipes relatifs à la limitation du reste à ch</w:t>
      </w:r>
      <w:r w:rsidR="00BA1CA9" w:rsidRPr="00424209">
        <w:rPr>
          <w:b/>
          <w:u w:val="single"/>
        </w:rPr>
        <w:t>arge des personnes accompagnées</w:t>
      </w:r>
      <w:r w:rsidR="002F6A66" w:rsidRPr="00424209">
        <w:rPr>
          <w:b/>
          <w:u w:val="single"/>
        </w:rPr>
        <w:t xml:space="preserve"> </w:t>
      </w:r>
    </w:p>
    <w:p w:rsidR="001845B8" w:rsidRDefault="009D298A" w:rsidP="0076112E">
      <w:pPr>
        <w:jc w:val="both"/>
      </w:pPr>
      <w:r w:rsidRPr="005E503F">
        <w:t>Le</w:t>
      </w:r>
      <w:r w:rsidR="005B3056" w:rsidRPr="005E503F">
        <w:t xml:space="preserve"> reste à charge</w:t>
      </w:r>
      <w:r w:rsidRPr="005E503F">
        <w:t xml:space="preserve"> doit être compris</w:t>
      </w:r>
      <w:r w:rsidR="005B3056" w:rsidRPr="005E503F">
        <w:t xml:space="preserve"> comme la différence entre</w:t>
      </w:r>
      <w:r w:rsidRPr="005E503F">
        <w:t xml:space="preserve"> le</w:t>
      </w:r>
      <w:r w:rsidR="005B3056" w:rsidRPr="005E503F">
        <w:t xml:space="preserve"> tarif appliqué par le SAD à l’usager et le montant du tarif de référence du département. </w:t>
      </w:r>
      <w:r w:rsidR="00DF32DE">
        <w:t xml:space="preserve">On entend par « limitation du reste à charge » le fait de ne pas l’augmenter, </w:t>
      </w:r>
      <w:r w:rsidR="00DF32DE" w:rsidRPr="00B70520">
        <w:t>d’en limiter l’augmentation</w:t>
      </w:r>
      <w:r w:rsidR="00DF32DE">
        <w:t xml:space="preserve"> ou de le réduire, mais pas de le supprimer sauf avec l’accord du service.</w:t>
      </w:r>
      <w:r w:rsidR="003B590B">
        <w:t xml:space="preserve"> </w:t>
      </w:r>
    </w:p>
    <w:p w:rsidR="005B3056" w:rsidRDefault="001845B8" w:rsidP="0076112E">
      <w:pPr>
        <w:jc w:val="both"/>
      </w:pPr>
      <w:r>
        <w:t>Néanmoins, l</w:t>
      </w:r>
      <w:r w:rsidR="003B590B" w:rsidRPr="005502B1">
        <w:t>a participation financière de l’usager ne devra pas augmenter en raison de la mise en place des actions visées par le CPOM.</w:t>
      </w:r>
    </w:p>
    <w:p w:rsidR="009E6E30" w:rsidRDefault="009E6E30" w:rsidP="0076112E">
      <w:pPr>
        <w:jc w:val="both"/>
      </w:pPr>
      <w:r>
        <w:t xml:space="preserve">La préfiguration du nouveau modèle de financement des SAD offre quelques exemples de modalités de limitation du reste à charge : </w:t>
      </w:r>
    </w:p>
    <w:p w:rsidR="009E6E30" w:rsidRDefault="009E6E30" w:rsidP="009E6E30">
      <w:pPr>
        <w:pStyle w:val="Paragraphedeliste"/>
        <w:numPr>
          <w:ilvl w:val="0"/>
          <w:numId w:val="22"/>
        </w:numPr>
        <w:jc w:val="both"/>
      </w:pPr>
      <w:r>
        <w:t>Fixation d’un « tarif plafond » au-delà duquel le service ne peut facturer à l’usager pour les prestations financées par le Département ;</w:t>
      </w:r>
    </w:p>
    <w:p w:rsidR="009E6E30" w:rsidRDefault="009E6E30" w:rsidP="009E6E30">
      <w:pPr>
        <w:pStyle w:val="Paragraphedeliste"/>
        <w:numPr>
          <w:ilvl w:val="0"/>
          <w:numId w:val="22"/>
        </w:numPr>
        <w:jc w:val="both"/>
      </w:pPr>
      <w:r>
        <w:t>Réduction du reste à charge pour les usagers ayant un profil spécifique (taux de participation nul,  GIR 1 et 2, etc.) ;</w:t>
      </w:r>
    </w:p>
    <w:p w:rsidR="00E35BB9" w:rsidRDefault="009E6E30" w:rsidP="0076112E">
      <w:pPr>
        <w:pStyle w:val="Paragraphedeliste"/>
        <w:numPr>
          <w:ilvl w:val="0"/>
          <w:numId w:val="22"/>
        </w:numPr>
        <w:jc w:val="both"/>
      </w:pPr>
      <w:r>
        <w:lastRenderedPageBreak/>
        <w:t xml:space="preserve">Engagement à </w:t>
      </w:r>
      <w:r w:rsidR="00044CD1">
        <w:t>appliquer</w:t>
      </w:r>
      <w:r>
        <w:t xml:space="preserve"> le taux d’évolution </w:t>
      </w:r>
      <w:r w:rsidRPr="009E6E30">
        <w:t xml:space="preserve">des prix des prestations fixé par arrêté de la </w:t>
      </w:r>
      <w:r w:rsidR="00B70520">
        <w:t>Direction Générale de la Concurrence, de la consommation et de la répression des Fra</w:t>
      </w:r>
      <w:r w:rsidR="009E1489">
        <w:t>u</w:t>
      </w:r>
      <w:r w:rsidR="00B70520">
        <w:t xml:space="preserve">de </w:t>
      </w:r>
      <w:r w:rsidRPr="009E6E30">
        <w:t>DGCCRF aux nouveaux contrats.</w:t>
      </w:r>
    </w:p>
    <w:p w:rsidR="003B590B" w:rsidRDefault="003B590B" w:rsidP="0076112E">
      <w:pPr>
        <w:jc w:val="both"/>
      </w:pPr>
      <w:r>
        <w:t>Cette</w:t>
      </w:r>
      <w:r w:rsidRPr="003B590B">
        <w:t xml:space="preserve"> limitation du reste à charge ne </w:t>
      </w:r>
      <w:r>
        <w:t>pourra toutefois</w:t>
      </w:r>
      <w:r w:rsidRPr="003B590B">
        <w:t xml:space="preserve"> pas faire l’objet d’une action financée</w:t>
      </w:r>
      <w:r>
        <w:t xml:space="preserve"> par la dotation complémentaire, l</w:t>
      </w:r>
      <w:r w:rsidRPr="003B590B">
        <w:t>’accessibilité financière ne figurant pas parmi les 6 objectifs de la dotat</w:t>
      </w:r>
      <w:r>
        <w:t>ion.</w:t>
      </w:r>
    </w:p>
    <w:p w:rsidR="00D23F37" w:rsidRDefault="005502B1" w:rsidP="005502B1">
      <w:pPr>
        <w:jc w:val="both"/>
      </w:pPr>
      <w:r>
        <w:t xml:space="preserve">En cas de non-respect du principe de limitation du reste à charge, le Département peut suspendre le bénéfice de la dotation. </w:t>
      </w:r>
    </w:p>
    <w:p w:rsidR="00464280" w:rsidRDefault="00464280" w:rsidP="00E97007">
      <w:pPr>
        <w:jc w:val="both"/>
      </w:pPr>
    </w:p>
    <w:p w:rsidR="004E7C01" w:rsidRPr="007E2A9C" w:rsidRDefault="007E2A9C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Règles d’organisation de l’appel à candidature</w:t>
      </w:r>
      <w:r w:rsidR="00614ACD">
        <w:rPr>
          <w:b/>
          <w:u w:val="single"/>
        </w:rPr>
        <w:t>s</w:t>
      </w:r>
    </w:p>
    <w:p w:rsidR="004E7C01" w:rsidRDefault="004E7C01" w:rsidP="0076112E">
      <w:pPr>
        <w:pStyle w:val="Paragraphedeliste"/>
        <w:ind w:left="1080"/>
        <w:jc w:val="both"/>
      </w:pPr>
    </w:p>
    <w:p w:rsidR="007E2A9C" w:rsidRDefault="007E2A9C" w:rsidP="0076112E">
      <w:pPr>
        <w:pStyle w:val="Paragraphedeliste"/>
        <w:numPr>
          <w:ilvl w:val="0"/>
          <w:numId w:val="7"/>
        </w:numPr>
        <w:jc w:val="both"/>
        <w:rPr>
          <w:u w:val="single"/>
        </w:rPr>
      </w:pPr>
      <w:r>
        <w:rPr>
          <w:u w:val="single"/>
        </w:rPr>
        <w:t>Modalités de réponse à l’appel à candidature</w:t>
      </w:r>
      <w:r w:rsidR="00614ACD">
        <w:rPr>
          <w:u w:val="single"/>
        </w:rPr>
        <w:t>s</w:t>
      </w:r>
      <w:r>
        <w:rPr>
          <w:u w:val="single"/>
        </w:rPr>
        <w:t xml:space="preserve"> </w:t>
      </w:r>
    </w:p>
    <w:p w:rsidR="007E2A9C" w:rsidRDefault="007E2A9C" w:rsidP="0076112E">
      <w:pPr>
        <w:jc w:val="both"/>
      </w:pPr>
      <w:r>
        <w:t>Chaque candidat devra adresser, en une seule fois, son dossier de candidature c</w:t>
      </w:r>
      <w:r w:rsidR="001C21A7">
        <w:t>omplet par voie dématérialisée</w:t>
      </w:r>
      <w:r>
        <w:t xml:space="preserve"> à l’adresse suivante : </w:t>
      </w:r>
      <w:hyperlink r:id="rId10" w:history="1">
        <w:r w:rsidR="00464280" w:rsidRPr="00752171">
          <w:rPr>
            <w:rStyle w:val="Lienhypertexte"/>
          </w:rPr>
          <w:t>admesms@loiret.fr</w:t>
        </w:r>
      </w:hyperlink>
      <w:r w:rsidR="00464280">
        <w:t xml:space="preserve"> </w:t>
      </w:r>
    </w:p>
    <w:p w:rsidR="007E2A9C" w:rsidRDefault="007E2A9C" w:rsidP="0076112E">
      <w:pPr>
        <w:jc w:val="both"/>
      </w:pPr>
      <w:r w:rsidRPr="00C67CC7">
        <w:t xml:space="preserve">La date limite d’envoi des candidatures est fixée au </w:t>
      </w:r>
      <w:r w:rsidR="00464280" w:rsidRPr="00C67CC7">
        <w:t>31</w:t>
      </w:r>
      <w:r w:rsidR="00614ACD" w:rsidRPr="00C67CC7">
        <w:t>/</w:t>
      </w:r>
      <w:r w:rsidR="00BA1CA9" w:rsidRPr="00C67CC7">
        <w:t>12</w:t>
      </w:r>
      <w:r w:rsidR="00614ACD" w:rsidRPr="00C67CC7">
        <w:t>/</w:t>
      </w:r>
      <w:r w:rsidR="00464280" w:rsidRPr="00C67CC7">
        <w:t>202</w:t>
      </w:r>
      <w:r w:rsidR="004E474B" w:rsidRPr="00C67CC7">
        <w:t>3</w:t>
      </w:r>
      <w:r w:rsidR="001C21A7" w:rsidRPr="00C67CC7">
        <w:t>.</w:t>
      </w:r>
    </w:p>
    <w:p w:rsidR="00BA1CA9" w:rsidRDefault="00E3050A" w:rsidP="001C21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t>Les dossiers</w:t>
      </w:r>
      <w:r w:rsidR="001C21A7">
        <w:t xml:space="preserve"> incomplets ou</w:t>
      </w:r>
      <w:r>
        <w:t xml:space="preserve"> transmis</w:t>
      </w:r>
      <w:r w:rsidRPr="00E3050A">
        <w:rPr>
          <w:rFonts w:ascii="Calibri" w:hAnsi="Calibri" w:cs="Calibri"/>
          <w:color w:val="000000"/>
        </w:rPr>
        <w:t xml:space="preserve"> </w:t>
      </w:r>
      <w:r w:rsidRPr="009E1DD7">
        <w:rPr>
          <w:rFonts w:ascii="Calibri" w:hAnsi="Calibri" w:cs="Calibri"/>
          <w:color w:val="000000"/>
        </w:rPr>
        <w:t xml:space="preserve">après la date </w:t>
      </w:r>
      <w:r>
        <w:rPr>
          <w:rFonts w:ascii="Calibri" w:hAnsi="Calibri" w:cs="Calibri"/>
          <w:color w:val="000000"/>
        </w:rPr>
        <w:t>limite fixée</w:t>
      </w:r>
      <w:r w:rsidRPr="009E1DD7">
        <w:rPr>
          <w:rFonts w:ascii="Calibri" w:hAnsi="Calibri" w:cs="Calibri"/>
          <w:color w:val="000000"/>
        </w:rPr>
        <w:t xml:space="preserve"> ci-dessus</w:t>
      </w:r>
      <w:r w:rsidR="00E970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ne </w:t>
      </w:r>
      <w:r w:rsidRPr="009E1DD7">
        <w:rPr>
          <w:rFonts w:ascii="Calibri" w:hAnsi="Calibri" w:cs="Calibri"/>
          <w:bCs/>
          <w:color w:val="000000"/>
        </w:rPr>
        <w:t xml:space="preserve">seront pas retenus ni étudiés. Ils seront par nature irrecevables. </w:t>
      </w:r>
    </w:p>
    <w:p w:rsidR="00845B92" w:rsidRPr="00845B92" w:rsidRDefault="00845B92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:rsidR="00B16864" w:rsidRPr="00B16864" w:rsidRDefault="00E3050A" w:rsidP="0004143B">
      <w:pPr>
        <w:jc w:val="both"/>
      </w:pPr>
      <w:r>
        <w:t>Pour toute demande d’infor</w:t>
      </w:r>
      <w:r w:rsidR="00464280">
        <w:t>mation, vous pouvez contacter </w:t>
      </w:r>
      <w:r w:rsidR="001C21A7">
        <w:t xml:space="preserve">les services du Département à l’adresse susvisée. </w:t>
      </w:r>
      <w:r w:rsidR="00464280">
        <w:t xml:space="preserve"> </w:t>
      </w:r>
    </w:p>
    <w:p w:rsidR="007E2A9C" w:rsidRPr="00021102" w:rsidRDefault="007E2A9C" w:rsidP="0076112E">
      <w:pPr>
        <w:pStyle w:val="Paragraphedeliste"/>
        <w:numPr>
          <w:ilvl w:val="0"/>
          <w:numId w:val="7"/>
        </w:numPr>
        <w:jc w:val="both"/>
        <w:rPr>
          <w:u w:val="single"/>
        </w:rPr>
      </w:pPr>
      <w:r w:rsidRPr="00021102">
        <w:rPr>
          <w:u w:val="single"/>
        </w:rPr>
        <w:t>Contenu du dossier de candidature</w:t>
      </w:r>
    </w:p>
    <w:p w:rsidR="00E3050A" w:rsidRPr="00845B92" w:rsidRDefault="00E3050A" w:rsidP="0076112E">
      <w:pPr>
        <w:jc w:val="both"/>
      </w:pPr>
      <w:r w:rsidRPr="00845B92">
        <w:t xml:space="preserve">Le dossier de candidature devra comporter </w:t>
      </w:r>
      <w:r w:rsidRPr="00FB309E">
        <w:rPr>
          <w:b/>
        </w:rPr>
        <w:t>obligatoirement</w:t>
      </w:r>
      <w:r w:rsidRPr="00845B92">
        <w:t> :</w:t>
      </w:r>
    </w:p>
    <w:p w:rsidR="00E3050A" w:rsidRPr="0002796D" w:rsidRDefault="00E3050A" w:rsidP="0076112E">
      <w:pPr>
        <w:pStyle w:val="Paragraphedeliste"/>
        <w:numPr>
          <w:ilvl w:val="0"/>
          <w:numId w:val="6"/>
        </w:numPr>
        <w:jc w:val="both"/>
      </w:pPr>
      <w:r w:rsidRPr="00845B92">
        <w:t xml:space="preserve"> </w:t>
      </w:r>
      <w:r w:rsidRPr="0002796D">
        <w:t xml:space="preserve">Le dossier de réponse à l’appel à candidatures </w:t>
      </w:r>
      <w:r w:rsidR="00933A59">
        <w:t xml:space="preserve">en </w:t>
      </w:r>
      <w:r w:rsidR="00933A59" w:rsidRPr="00933A59">
        <w:rPr>
          <w:u w:val="single"/>
        </w:rPr>
        <w:t>format Word</w:t>
      </w:r>
      <w:r w:rsidR="00933A59">
        <w:t xml:space="preserve"> </w:t>
      </w:r>
      <w:r w:rsidR="00A46BD7" w:rsidRPr="0002796D">
        <w:rPr>
          <w:i/>
        </w:rPr>
        <w:t>(</w:t>
      </w:r>
      <w:r w:rsidR="0004143B" w:rsidRPr="0002796D">
        <w:rPr>
          <w:i/>
        </w:rPr>
        <w:t xml:space="preserve">Annexe </w:t>
      </w:r>
      <w:r w:rsidR="007E78DA" w:rsidRPr="0002796D">
        <w:rPr>
          <w:i/>
        </w:rPr>
        <w:t>2</w:t>
      </w:r>
      <w:r w:rsidR="00A46BD7" w:rsidRPr="0002796D">
        <w:rPr>
          <w:i/>
        </w:rPr>
        <w:t>)</w:t>
      </w:r>
      <w:r w:rsidRPr="0002796D">
        <w:t> ;</w:t>
      </w:r>
    </w:p>
    <w:p w:rsidR="00CF7895" w:rsidRDefault="00E3050A" w:rsidP="0047138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45B92">
        <w:rPr>
          <w:rFonts w:asciiTheme="minorHAnsi" w:hAnsiTheme="minorHAnsi" w:cstheme="minorBidi"/>
          <w:color w:val="auto"/>
          <w:sz w:val="22"/>
          <w:szCs w:val="22"/>
        </w:rPr>
        <w:t xml:space="preserve">Une attestation sur l’honneur du responsable de la structure, précisant que le </w:t>
      </w:r>
      <w:r w:rsidR="00E44B15">
        <w:rPr>
          <w:rFonts w:asciiTheme="minorHAnsi" w:hAnsiTheme="minorHAnsi" w:cstheme="minorBidi"/>
          <w:color w:val="auto"/>
          <w:sz w:val="22"/>
          <w:szCs w:val="22"/>
        </w:rPr>
        <w:t>SAD</w:t>
      </w:r>
      <w:r w:rsidRPr="00845B92">
        <w:rPr>
          <w:rFonts w:asciiTheme="minorHAnsi" w:hAnsiTheme="minorHAnsi" w:cstheme="minorBidi"/>
          <w:color w:val="auto"/>
          <w:sz w:val="22"/>
          <w:szCs w:val="22"/>
        </w:rPr>
        <w:t xml:space="preserve"> ne se trouve pas dans une procédure de redressement judiciaire ou de dépôt de bilan et qu’il est à jour de ses obligations déclaratives fiscales et sociales ou </w:t>
      </w:r>
      <w:r w:rsidR="00CF7895" w:rsidRPr="00845B92">
        <w:rPr>
          <w:rFonts w:asciiTheme="minorHAnsi" w:hAnsiTheme="minorHAnsi" w:cstheme="minorBidi"/>
          <w:color w:val="auto"/>
          <w:sz w:val="22"/>
          <w:szCs w:val="22"/>
        </w:rPr>
        <w:t>est</w:t>
      </w:r>
      <w:r w:rsidRPr="00845B92">
        <w:rPr>
          <w:rFonts w:asciiTheme="minorHAnsi" w:hAnsiTheme="minorHAnsi" w:cstheme="minorBidi"/>
          <w:color w:val="auto"/>
          <w:sz w:val="22"/>
          <w:szCs w:val="22"/>
        </w:rPr>
        <w:t xml:space="preserve"> engagé dans un processus de régularisation de ses paiements ;</w:t>
      </w:r>
    </w:p>
    <w:p w:rsidR="00E44B15" w:rsidRDefault="00E44B15" w:rsidP="00E44B15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44B15" w:rsidRPr="00C563B9" w:rsidRDefault="00E44B15" w:rsidP="002372B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67CC7">
        <w:rPr>
          <w:rFonts w:asciiTheme="minorHAnsi" w:hAnsiTheme="minorHAnsi" w:cstheme="minorBidi"/>
          <w:color w:val="auto"/>
          <w:sz w:val="22"/>
          <w:szCs w:val="22"/>
        </w:rPr>
        <w:t>Pour les services non tarifés par le département, une</w:t>
      </w:r>
      <w:r w:rsidRPr="00C563B9">
        <w:rPr>
          <w:rFonts w:asciiTheme="minorHAnsi" w:hAnsiTheme="minorHAnsi" w:cstheme="minorBidi"/>
          <w:color w:val="auto"/>
          <w:sz w:val="22"/>
          <w:szCs w:val="22"/>
        </w:rPr>
        <w:t xml:space="preserve"> attestation sur l’honneur indiquant que le SAD s’engage à négocier dans le cadre du CPOM, des modalités de limitation du reste à charge des personnes accompagnées, selon les principes formulés dans le présent appel à candidatures</w:t>
      </w:r>
      <w:r w:rsidR="00A46BD7" w:rsidRPr="00C563B9">
        <w:rPr>
          <w:rFonts w:asciiTheme="minorHAnsi" w:hAnsiTheme="minorHAnsi" w:cstheme="minorBidi"/>
          <w:color w:val="auto"/>
          <w:sz w:val="22"/>
          <w:szCs w:val="22"/>
        </w:rPr>
        <w:t> ;</w:t>
      </w:r>
    </w:p>
    <w:p w:rsidR="00845B92" w:rsidRPr="00845B92" w:rsidRDefault="00845B92" w:rsidP="0076112E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845B92" w:rsidRPr="00A46BD7" w:rsidRDefault="00CF7895" w:rsidP="00A46BD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45B92">
        <w:rPr>
          <w:rFonts w:asciiTheme="minorHAnsi" w:hAnsiTheme="minorHAnsi" w:cstheme="minorBidi"/>
          <w:color w:val="auto"/>
          <w:sz w:val="22"/>
          <w:szCs w:val="22"/>
        </w:rPr>
        <w:t>La grille tarifaire des prestations proposées</w:t>
      </w:r>
      <w:r w:rsidR="005B3056">
        <w:rPr>
          <w:rFonts w:asciiTheme="minorHAnsi" w:hAnsiTheme="minorHAnsi" w:cstheme="minorBidi"/>
          <w:color w:val="auto"/>
          <w:sz w:val="22"/>
          <w:szCs w:val="22"/>
        </w:rPr>
        <w:t xml:space="preserve"> p</w:t>
      </w:r>
      <w:r w:rsidR="00286819">
        <w:rPr>
          <w:rFonts w:asciiTheme="minorHAnsi" w:hAnsiTheme="minorHAnsi" w:cstheme="minorBidi"/>
          <w:color w:val="auto"/>
          <w:sz w:val="22"/>
          <w:szCs w:val="22"/>
        </w:rPr>
        <w:t xml:space="preserve">ar le </w:t>
      </w:r>
      <w:r w:rsidR="00E44B15">
        <w:rPr>
          <w:rFonts w:asciiTheme="minorHAnsi" w:hAnsiTheme="minorHAnsi" w:cstheme="minorBidi"/>
          <w:color w:val="auto"/>
          <w:sz w:val="22"/>
          <w:szCs w:val="22"/>
        </w:rPr>
        <w:t>SAD</w:t>
      </w:r>
      <w:r w:rsidR="005067E7">
        <w:rPr>
          <w:rFonts w:asciiTheme="minorHAnsi" w:hAnsiTheme="minorHAnsi" w:cstheme="minorBidi"/>
          <w:color w:val="auto"/>
          <w:sz w:val="22"/>
          <w:szCs w:val="22"/>
        </w:rPr>
        <w:t xml:space="preserve"> au titre de l’année en cours</w:t>
      </w:r>
      <w:r w:rsidR="00286819">
        <w:rPr>
          <w:rFonts w:asciiTheme="minorHAnsi" w:hAnsiTheme="minorHAnsi" w:cstheme="minorBidi"/>
          <w:color w:val="auto"/>
          <w:sz w:val="22"/>
          <w:szCs w:val="22"/>
        </w:rPr>
        <w:t> ;</w:t>
      </w:r>
    </w:p>
    <w:p w:rsidR="00AE760E" w:rsidRPr="00AE760E" w:rsidRDefault="00AE760E" w:rsidP="00AE760E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46BD7" w:rsidRPr="0002796D" w:rsidRDefault="00A46BD7" w:rsidP="00A46BD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Le</w:t>
      </w:r>
      <w:r w:rsidR="00AE760E">
        <w:rPr>
          <w:rFonts w:asciiTheme="minorHAnsi" w:hAnsiTheme="minorHAnsi" w:cstheme="minorBidi"/>
          <w:color w:val="auto"/>
          <w:sz w:val="22"/>
          <w:szCs w:val="22"/>
        </w:rPr>
        <w:t xml:space="preserve"> calendrier prévisionnel de mise en œuvre des actions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AE760E">
        <w:rPr>
          <w:rFonts w:asciiTheme="minorHAnsi" w:hAnsiTheme="minorHAnsi" w:cstheme="minorBidi"/>
          <w:color w:val="auto"/>
          <w:sz w:val="22"/>
          <w:szCs w:val="22"/>
        </w:rPr>
        <w:t xml:space="preserve">pour chaque objectif </w:t>
      </w:r>
      <w:r w:rsidR="00757EFC">
        <w:rPr>
          <w:rFonts w:asciiTheme="minorHAnsi" w:hAnsiTheme="minorHAnsi" w:cstheme="minorBidi"/>
          <w:color w:val="auto"/>
          <w:sz w:val="22"/>
          <w:szCs w:val="22"/>
        </w:rPr>
        <w:t xml:space="preserve">et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sur la durée </w:t>
      </w:r>
      <w:r w:rsidRPr="0002796D">
        <w:rPr>
          <w:rFonts w:asciiTheme="minorHAnsi" w:hAnsiTheme="minorHAnsi" w:cstheme="minorBidi"/>
          <w:color w:val="auto"/>
          <w:sz w:val="22"/>
          <w:szCs w:val="22"/>
        </w:rPr>
        <w:t xml:space="preserve">totale du CPOM </w:t>
      </w:r>
      <w:r w:rsidR="007E78DA" w:rsidRPr="00933A59">
        <w:rPr>
          <w:i/>
          <w:sz w:val="22"/>
          <w:szCs w:val="22"/>
        </w:rPr>
        <w:t>(Annexe 3).</w:t>
      </w:r>
      <w:r w:rsidR="007E78DA" w:rsidRPr="00933A59">
        <w:rPr>
          <w:sz w:val="22"/>
          <w:szCs w:val="22"/>
        </w:rPr>
        <w:t> </w:t>
      </w:r>
      <w:r w:rsidR="00C563B9" w:rsidRPr="0002796D">
        <w:rPr>
          <w:rFonts w:asciiTheme="minorHAnsi" w:hAnsiTheme="minorHAnsi" w:cstheme="minorBidi"/>
          <w:color w:val="auto"/>
          <w:sz w:val="22"/>
          <w:szCs w:val="22"/>
        </w:rPr>
        <w:t xml:space="preserve">Ce document doit impérativement être retourné en </w:t>
      </w:r>
      <w:r w:rsidR="00C563B9" w:rsidRPr="00933A59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format </w:t>
      </w:r>
      <w:r w:rsidR="001E20B3" w:rsidRPr="00933A59">
        <w:rPr>
          <w:rFonts w:asciiTheme="minorHAnsi" w:hAnsiTheme="minorHAnsi" w:cstheme="minorBidi"/>
          <w:color w:val="auto"/>
          <w:sz w:val="22"/>
          <w:szCs w:val="22"/>
          <w:u w:val="single"/>
        </w:rPr>
        <w:t>Excel</w:t>
      </w:r>
      <w:r w:rsidR="00122810" w:rsidRPr="00933A59">
        <w:rPr>
          <w:rFonts w:asciiTheme="minorHAnsi" w:hAnsiTheme="minorHAnsi" w:cstheme="minorBidi"/>
          <w:color w:val="auto"/>
          <w:sz w:val="22"/>
          <w:szCs w:val="22"/>
          <w:u w:val="single"/>
        </w:rPr>
        <w:t>.</w:t>
      </w:r>
    </w:p>
    <w:p w:rsidR="00A46BD7" w:rsidRPr="00A46BD7" w:rsidRDefault="00A46BD7" w:rsidP="00A46BD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4F25D1" w:rsidRDefault="00E3050A" w:rsidP="00E65E4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manière facultative, le dossier de candidature peut comporter tout élément que le candidat jugerait pertinent, permettant de mieux i</w:t>
      </w:r>
      <w:r w:rsidR="00151EB8">
        <w:rPr>
          <w:rFonts w:ascii="Calibri" w:hAnsi="Calibri" w:cs="Calibri"/>
        </w:rPr>
        <w:t>dentifier la structure porteuse et</w:t>
      </w:r>
      <w:r>
        <w:rPr>
          <w:rFonts w:ascii="Calibri" w:hAnsi="Calibri" w:cs="Calibri"/>
        </w:rPr>
        <w:t xml:space="preserve"> son activité. </w:t>
      </w:r>
    </w:p>
    <w:p w:rsidR="004F25D1" w:rsidRDefault="004F25D1" w:rsidP="00E65E4C">
      <w:pPr>
        <w:jc w:val="both"/>
        <w:rPr>
          <w:rFonts w:ascii="Calibri" w:hAnsi="Calibri" w:cs="Calibri"/>
        </w:rPr>
      </w:pPr>
    </w:p>
    <w:p w:rsidR="0004143B" w:rsidRPr="00151EB8" w:rsidRDefault="0004143B" w:rsidP="00E65E4C">
      <w:pPr>
        <w:jc w:val="both"/>
        <w:rPr>
          <w:rFonts w:ascii="Calibri" w:hAnsi="Calibri" w:cs="Calibri"/>
        </w:rPr>
      </w:pPr>
    </w:p>
    <w:p w:rsidR="003B5415" w:rsidRDefault="007E2A9C" w:rsidP="0076112E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7E2A9C">
        <w:rPr>
          <w:b/>
          <w:u w:val="single"/>
        </w:rPr>
        <w:lastRenderedPageBreak/>
        <w:t>Modalités et c</w:t>
      </w:r>
      <w:r w:rsidR="003B5415" w:rsidRPr="007E2A9C">
        <w:rPr>
          <w:b/>
          <w:u w:val="single"/>
        </w:rPr>
        <w:t>ritères de sélection</w:t>
      </w:r>
      <w:r w:rsidRPr="007E2A9C">
        <w:rPr>
          <w:b/>
          <w:u w:val="single"/>
        </w:rPr>
        <w:t xml:space="preserve"> des candidatures </w:t>
      </w:r>
    </w:p>
    <w:p w:rsidR="003B68EE" w:rsidRPr="007E2A9C" w:rsidRDefault="003B68EE" w:rsidP="003B68EE">
      <w:pPr>
        <w:pStyle w:val="Paragraphedeliste"/>
        <w:ind w:left="1080"/>
        <w:jc w:val="both"/>
        <w:rPr>
          <w:b/>
          <w:u w:val="single"/>
        </w:rPr>
      </w:pPr>
    </w:p>
    <w:p w:rsidR="007E2A9C" w:rsidRDefault="007E2A9C" w:rsidP="0076112E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7E2A9C">
        <w:rPr>
          <w:sz w:val="22"/>
          <w:szCs w:val="22"/>
          <w:u w:val="single"/>
        </w:rPr>
        <w:t xml:space="preserve">Procédure d’examen des dossiers : </w:t>
      </w:r>
    </w:p>
    <w:p w:rsidR="00286819" w:rsidRPr="007E2A9C" w:rsidRDefault="00286819" w:rsidP="00286819">
      <w:pPr>
        <w:pStyle w:val="Default"/>
        <w:ind w:left="720"/>
        <w:jc w:val="both"/>
        <w:rPr>
          <w:sz w:val="22"/>
          <w:szCs w:val="22"/>
          <w:u w:val="single"/>
        </w:rPr>
      </w:pPr>
    </w:p>
    <w:p w:rsidR="004506DC" w:rsidRPr="00610730" w:rsidRDefault="004506DC" w:rsidP="00471382">
      <w:pPr>
        <w:jc w:val="both"/>
        <w:rPr>
          <w:rFonts w:ascii="Calibri" w:hAnsi="Calibri" w:cs="Calibri"/>
          <w:color w:val="000000"/>
        </w:rPr>
      </w:pPr>
      <w:r w:rsidRPr="00C67CC7">
        <w:rPr>
          <w:rFonts w:ascii="Calibri" w:hAnsi="Calibri" w:cs="Calibri"/>
          <w:color w:val="000000"/>
        </w:rPr>
        <w:t xml:space="preserve">Les candidatures seront analysées </w:t>
      </w:r>
      <w:r w:rsidR="004F25D1" w:rsidRPr="00C67CC7">
        <w:rPr>
          <w:rFonts w:ascii="Calibri" w:hAnsi="Calibri" w:cs="Calibri"/>
          <w:color w:val="000000"/>
        </w:rPr>
        <w:t xml:space="preserve">à compter </w:t>
      </w:r>
      <w:r w:rsidR="00C3472C" w:rsidRPr="00C67CC7">
        <w:rPr>
          <w:rFonts w:ascii="Calibri" w:hAnsi="Calibri" w:cs="Calibri"/>
          <w:color w:val="000000"/>
        </w:rPr>
        <w:t xml:space="preserve">du </w:t>
      </w:r>
      <w:r w:rsidR="001E20B3" w:rsidRPr="00C67CC7">
        <w:rPr>
          <w:rFonts w:ascii="Calibri" w:hAnsi="Calibri" w:cs="Calibri"/>
          <w:color w:val="000000"/>
        </w:rPr>
        <w:t>1</w:t>
      </w:r>
      <w:r w:rsidR="001E20B3" w:rsidRPr="00C67CC7">
        <w:rPr>
          <w:rFonts w:ascii="Calibri" w:hAnsi="Calibri" w:cs="Calibri"/>
          <w:color w:val="000000"/>
          <w:vertAlign w:val="superscript"/>
        </w:rPr>
        <w:t>er</w:t>
      </w:r>
      <w:r w:rsidR="001E20B3" w:rsidRPr="00C67CC7">
        <w:rPr>
          <w:rFonts w:ascii="Calibri" w:hAnsi="Calibri" w:cs="Calibri"/>
          <w:color w:val="000000"/>
        </w:rPr>
        <w:t xml:space="preserve"> janvier 202</w:t>
      </w:r>
      <w:r w:rsidR="004E474B" w:rsidRPr="00C67CC7">
        <w:rPr>
          <w:rFonts w:ascii="Calibri" w:hAnsi="Calibri" w:cs="Calibri"/>
          <w:color w:val="000000"/>
        </w:rPr>
        <w:t>4</w:t>
      </w:r>
      <w:r w:rsidR="004F25D1" w:rsidRPr="00C67CC7">
        <w:rPr>
          <w:rFonts w:ascii="Calibri" w:hAnsi="Calibri" w:cs="Calibri"/>
          <w:color w:val="000000"/>
        </w:rPr>
        <w:t xml:space="preserve"> </w:t>
      </w:r>
      <w:r w:rsidR="004A0964" w:rsidRPr="00C67CC7">
        <w:rPr>
          <w:rFonts w:ascii="Calibri" w:hAnsi="Calibri" w:cs="Calibri"/>
          <w:color w:val="000000"/>
        </w:rPr>
        <w:t xml:space="preserve">par </w:t>
      </w:r>
      <w:r w:rsidR="00D85FB3" w:rsidRPr="00C67CC7">
        <w:rPr>
          <w:rFonts w:ascii="Calibri" w:hAnsi="Calibri" w:cs="Calibri"/>
          <w:color w:val="000000"/>
        </w:rPr>
        <w:t>la Direction des Ressources et de</w:t>
      </w:r>
      <w:r w:rsidR="00C3472C" w:rsidRPr="00C3472C">
        <w:rPr>
          <w:rFonts w:ascii="Calibri" w:hAnsi="Calibri" w:cs="Calibri"/>
          <w:color w:val="000000"/>
        </w:rPr>
        <w:t xml:space="preserve"> l’Offre Médico-Sociale du Département. Les services disposeront d’un délai de 2 mois pour leur</w:t>
      </w:r>
      <w:r w:rsidR="00C3472C">
        <w:rPr>
          <w:rFonts w:ascii="Calibri" w:hAnsi="Calibri" w:cs="Calibri"/>
          <w:color w:val="000000"/>
        </w:rPr>
        <w:t xml:space="preserve"> instruction. </w:t>
      </w:r>
    </w:p>
    <w:p w:rsidR="007E2A9C" w:rsidRDefault="00C3472C" w:rsidP="004713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Durant cette</w:t>
      </w:r>
      <w:r w:rsidR="004506DC" w:rsidRPr="00F45A98">
        <w:rPr>
          <w:sz w:val="22"/>
          <w:szCs w:val="22"/>
        </w:rPr>
        <w:t xml:space="preserve"> période, les agents en charge de l’analyse des dossiers </w:t>
      </w:r>
      <w:r>
        <w:rPr>
          <w:sz w:val="22"/>
          <w:szCs w:val="22"/>
        </w:rPr>
        <w:t>pourront</w:t>
      </w:r>
      <w:r w:rsidR="004506DC" w:rsidRPr="00F45A98">
        <w:rPr>
          <w:sz w:val="22"/>
          <w:szCs w:val="22"/>
        </w:rPr>
        <w:t xml:space="preserve"> être amenés à </w:t>
      </w:r>
      <w:r>
        <w:rPr>
          <w:sz w:val="22"/>
          <w:szCs w:val="22"/>
        </w:rPr>
        <w:t>prendre contact avec</w:t>
      </w:r>
      <w:r w:rsidR="00864EB7">
        <w:rPr>
          <w:sz w:val="22"/>
          <w:szCs w:val="22"/>
        </w:rPr>
        <w:t xml:space="preserve"> les candidats pour </w:t>
      </w:r>
      <w:r>
        <w:rPr>
          <w:sz w:val="22"/>
          <w:szCs w:val="22"/>
        </w:rPr>
        <w:t>obtenir d’éventuelles</w:t>
      </w:r>
      <w:r w:rsidR="00864EB7">
        <w:rPr>
          <w:sz w:val="22"/>
          <w:szCs w:val="22"/>
        </w:rPr>
        <w:t xml:space="preserve"> précisions. </w:t>
      </w:r>
      <w:r w:rsidR="004506DC">
        <w:rPr>
          <w:sz w:val="22"/>
          <w:szCs w:val="22"/>
        </w:rPr>
        <w:t xml:space="preserve"> </w:t>
      </w:r>
    </w:p>
    <w:p w:rsidR="00672794" w:rsidRDefault="00672794" w:rsidP="00471382">
      <w:pPr>
        <w:pStyle w:val="Default"/>
        <w:jc w:val="both"/>
        <w:rPr>
          <w:sz w:val="22"/>
          <w:szCs w:val="22"/>
        </w:rPr>
      </w:pPr>
    </w:p>
    <w:p w:rsidR="004E474B" w:rsidRDefault="004E474B" w:rsidP="00471382">
      <w:pPr>
        <w:pStyle w:val="Default"/>
        <w:jc w:val="both"/>
        <w:rPr>
          <w:sz w:val="22"/>
          <w:szCs w:val="22"/>
        </w:rPr>
      </w:pPr>
    </w:p>
    <w:p w:rsidR="007E2A9C" w:rsidRPr="00755834" w:rsidRDefault="007E2A9C" w:rsidP="0076112E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755834">
        <w:rPr>
          <w:sz w:val="22"/>
          <w:szCs w:val="22"/>
          <w:u w:val="single"/>
        </w:rPr>
        <w:t>Critères de sélection des candidatures :</w:t>
      </w:r>
    </w:p>
    <w:p w:rsidR="007E2A9C" w:rsidRDefault="007E2A9C" w:rsidP="0076112E">
      <w:pPr>
        <w:pStyle w:val="Default"/>
        <w:jc w:val="both"/>
        <w:rPr>
          <w:sz w:val="22"/>
          <w:szCs w:val="22"/>
        </w:rPr>
      </w:pPr>
    </w:p>
    <w:p w:rsidR="00973B97" w:rsidRDefault="004506DC" w:rsidP="00973B97">
      <w:pPr>
        <w:jc w:val="both"/>
        <w:rPr>
          <w:rFonts w:ascii="Calibri" w:hAnsi="Calibri" w:cs="Calibri"/>
          <w:color w:val="000000"/>
        </w:rPr>
      </w:pPr>
      <w:r w:rsidRPr="00610730">
        <w:rPr>
          <w:rFonts w:ascii="Calibri" w:hAnsi="Calibri" w:cs="Calibri"/>
          <w:color w:val="000000"/>
        </w:rPr>
        <w:t>L</w:t>
      </w:r>
      <w:r w:rsidR="0052780F">
        <w:rPr>
          <w:rFonts w:ascii="Calibri" w:hAnsi="Calibri" w:cs="Calibri"/>
          <w:color w:val="000000"/>
        </w:rPr>
        <w:t xml:space="preserve">es candidatures doivent </w:t>
      </w:r>
      <w:r w:rsidR="0052780F" w:rsidRPr="001E20B3">
        <w:rPr>
          <w:rFonts w:ascii="Calibri" w:hAnsi="Calibri" w:cs="Calibri"/>
          <w:b/>
          <w:color w:val="000000"/>
        </w:rPr>
        <w:t>impérativement</w:t>
      </w:r>
      <w:r w:rsidR="0052780F">
        <w:rPr>
          <w:rFonts w:ascii="Calibri" w:hAnsi="Calibri" w:cs="Calibri"/>
          <w:color w:val="000000"/>
        </w:rPr>
        <w:t xml:space="preserve"> remplir les critères suivants</w:t>
      </w:r>
      <w:r w:rsidRPr="00610730">
        <w:rPr>
          <w:rFonts w:ascii="Calibri" w:hAnsi="Calibri" w:cs="Calibri"/>
          <w:color w:val="000000"/>
        </w:rPr>
        <w:t xml:space="preserve"> </w:t>
      </w:r>
      <w:r w:rsidRPr="00614ACD">
        <w:rPr>
          <w:rFonts w:ascii="Calibri" w:hAnsi="Calibri" w:cs="Calibri"/>
          <w:color w:val="000000"/>
        </w:rPr>
        <w:t>:</w:t>
      </w:r>
      <w:r w:rsidR="0091752F" w:rsidRPr="00614ACD">
        <w:rPr>
          <w:rFonts w:ascii="Calibri" w:hAnsi="Calibri" w:cs="Calibri"/>
          <w:color w:val="000000"/>
        </w:rPr>
        <w:t xml:space="preserve"> </w:t>
      </w:r>
      <w:r w:rsidR="00973B97">
        <w:rPr>
          <w:rFonts w:ascii="Calibri" w:hAnsi="Calibri" w:cs="Calibri"/>
          <w:color w:val="000000"/>
        </w:rPr>
        <w:t xml:space="preserve"> </w:t>
      </w:r>
    </w:p>
    <w:p w:rsidR="0052780F" w:rsidRDefault="004506DC" w:rsidP="0052780F">
      <w:pPr>
        <w:pStyle w:val="Paragraphedeliste"/>
        <w:numPr>
          <w:ilvl w:val="0"/>
          <w:numId w:val="20"/>
        </w:numPr>
        <w:jc w:val="both"/>
      </w:pPr>
      <w:r w:rsidRPr="00973B97">
        <w:rPr>
          <w:rFonts w:ascii="Calibri" w:hAnsi="Calibri" w:cs="Calibri"/>
          <w:color w:val="000000"/>
        </w:rPr>
        <w:t>L</w:t>
      </w:r>
      <w:r w:rsidR="00AD43AB" w:rsidRPr="00973B97">
        <w:rPr>
          <w:rFonts w:ascii="Calibri" w:hAnsi="Calibri" w:cs="Calibri"/>
          <w:color w:val="000000"/>
        </w:rPr>
        <w:t xml:space="preserve">a présence </w:t>
      </w:r>
      <w:r w:rsidR="00864EB7">
        <w:rPr>
          <w:rFonts w:ascii="Calibri" w:hAnsi="Calibri" w:cs="Calibri"/>
          <w:color w:val="000000"/>
        </w:rPr>
        <w:t xml:space="preserve">obligatoire </w:t>
      </w:r>
      <w:r w:rsidR="00AD43AB" w:rsidRPr="00973B97">
        <w:rPr>
          <w:rFonts w:ascii="Calibri" w:hAnsi="Calibri" w:cs="Calibri"/>
          <w:color w:val="000000"/>
        </w:rPr>
        <w:t>d</w:t>
      </w:r>
      <w:r w:rsidR="00864EB7">
        <w:rPr>
          <w:rFonts w:ascii="Calibri" w:hAnsi="Calibri" w:cs="Calibri"/>
          <w:color w:val="000000"/>
        </w:rPr>
        <w:t xml:space="preserve">’actions répondant aux </w:t>
      </w:r>
      <w:r w:rsidR="0052780F">
        <w:rPr>
          <w:rFonts w:ascii="Calibri" w:hAnsi="Calibri" w:cs="Calibri"/>
          <w:color w:val="000000"/>
        </w:rPr>
        <w:t>deux premiers</w:t>
      </w:r>
      <w:r w:rsidR="00864EB7">
        <w:rPr>
          <w:rFonts w:ascii="Calibri" w:hAnsi="Calibri" w:cs="Calibri"/>
          <w:color w:val="000000"/>
        </w:rPr>
        <w:t xml:space="preserve"> objectifs </w:t>
      </w:r>
      <w:r w:rsidR="0052780F">
        <w:rPr>
          <w:rFonts w:ascii="Calibri" w:hAnsi="Calibri" w:cs="Calibri"/>
          <w:color w:val="000000"/>
        </w:rPr>
        <w:t>retenus</w:t>
      </w:r>
      <w:r w:rsidR="00864EB7">
        <w:rPr>
          <w:rFonts w:ascii="Calibri" w:hAnsi="Calibri" w:cs="Calibri"/>
          <w:color w:val="000000"/>
        </w:rPr>
        <w:t xml:space="preserve"> par le Département</w:t>
      </w:r>
      <w:r w:rsidR="0052780F">
        <w:rPr>
          <w:rFonts w:ascii="Calibri" w:hAnsi="Calibri" w:cs="Calibri"/>
          <w:color w:val="000000"/>
        </w:rPr>
        <w:t xml:space="preserve"> : </w:t>
      </w:r>
      <w:r w:rsidR="0052780F" w:rsidRPr="0052780F">
        <w:t>« Améliorer la qualité de vie au travail des intervenants »</w:t>
      </w:r>
      <w:r w:rsidR="0052780F">
        <w:t xml:space="preserve"> et</w:t>
      </w:r>
      <w:r w:rsidR="0052780F" w:rsidRPr="0052780F">
        <w:t xml:space="preserve"> « Intervenir sur une amplitude horaire incluant les soirs, les week-ends et les jours fériés »</w:t>
      </w:r>
      <w:r w:rsidR="0052780F">
        <w:t xml:space="preserve"> ; </w:t>
      </w:r>
    </w:p>
    <w:p w:rsidR="003425AF" w:rsidRDefault="003425AF" w:rsidP="003425AF">
      <w:pPr>
        <w:pStyle w:val="Paragraphedeliste"/>
        <w:jc w:val="both"/>
      </w:pPr>
    </w:p>
    <w:p w:rsidR="00BA4C73" w:rsidRDefault="003425AF" w:rsidP="00BA4C73">
      <w:pPr>
        <w:pStyle w:val="Paragraphedeliste"/>
        <w:numPr>
          <w:ilvl w:val="0"/>
          <w:numId w:val="20"/>
        </w:numPr>
        <w:jc w:val="both"/>
      </w:pPr>
      <w:r>
        <w:t xml:space="preserve">Le financement sollicité au titre des deux objectifs indiqués ci-dessus devra être </w:t>
      </w:r>
      <w:r w:rsidRPr="002B1777">
        <w:rPr>
          <w:b/>
        </w:rPr>
        <w:t>au moins égal à 60%</w:t>
      </w:r>
      <w:r>
        <w:t xml:space="preserve"> de la dotation complémentaire cible</w:t>
      </w:r>
      <w:r w:rsidR="00BA4C73">
        <w:t> ;</w:t>
      </w:r>
    </w:p>
    <w:p w:rsidR="0052780F" w:rsidRPr="00B16864" w:rsidRDefault="00BA4C73" w:rsidP="00BA4C73">
      <w:pPr>
        <w:jc w:val="both"/>
        <w:rPr>
          <w:i/>
        </w:rPr>
      </w:pPr>
      <w:r w:rsidRPr="00B16864">
        <w:rPr>
          <w:i/>
        </w:rPr>
        <w:t xml:space="preserve">NB : Un calcul des pourcentages est intégré à </w:t>
      </w:r>
      <w:r w:rsidRPr="007E78DA">
        <w:rPr>
          <w:i/>
        </w:rPr>
        <w:t>l’annexe</w:t>
      </w:r>
      <w:r w:rsidR="007E78DA" w:rsidRPr="007E78DA">
        <w:rPr>
          <w:i/>
        </w:rPr>
        <w:t xml:space="preserve"> 3</w:t>
      </w:r>
      <w:r w:rsidRPr="00B16864">
        <w:rPr>
          <w:i/>
        </w:rPr>
        <w:t xml:space="preserve"> afin que </w:t>
      </w:r>
      <w:r w:rsidR="00122810">
        <w:rPr>
          <w:i/>
        </w:rPr>
        <w:t xml:space="preserve">le candidat </w:t>
      </w:r>
      <w:r w:rsidR="007E78DA">
        <w:rPr>
          <w:i/>
        </w:rPr>
        <w:t xml:space="preserve">puisse </w:t>
      </w:r>
      <w:r w:rsidR="007E78DA" w:rsidRPr="00B16864">
        <w:rPr>
          <w:i/>
        </w:rPr>
        <w:t>évaluer</w:t>
      </w:r>
      <w:r w:rsidRPr="00B16864">
        <w:rPr>
          <w:i/>
        </w:rPr>
        <w:t xml:space="preserve"> la part du coût de chaque objectif au regard de la dotation complémentaire cible. A cet effet, la cellule B3 </w:t>
      </w:r>
      <w:r w:rsidR="00122810">
        <w:rPr>
          <w:i/>
        </w:rPr>
        <w:t xml:space="preserve">doit être complétée </w:t>
      </w:r>
      <w:r w:rsidRPr="00B16864">
        <w:rPr>
          <w:i/>
        </w:rPr>
        <w:t>avec le montant de la dotation cible (selon le calcul indiqué dans la partie III. B).</w:t>
      </w:r>
    </w:p>
    <w:p w:rsidR="0052780F" w:rsidRDefault="0052780F" w:rsidP="0052780F">
      <w:pPr>
        <w:pStyle w:val="Paragraphedeliste"/>
        <w:numPr>
          <w:ilvl w:val="0"/>
          <w:numId w:val="20"/>
        </w:numPr>
        <w:jc w:val="both"/>
      </w:pPr>
      <w:r w:rsidRPr="0052780F">
        <w:rPr>
          <w:rFonts w:ascii="Calibri" w:hAnsi="Calibri" w:cs="Calibri"/>
          <w:color w:val="000000"/>
        </w:rPr>
        <w:t>La présence obligatoire d’actions répondant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minima</w:t>
      </w:r>
      <w:r w:rsidRPr="0052780F">
        <w:rPr>
          <w:rFonts w:ascii="Calibri" w:hAnsi="Calibri" w:cs="Calibri"/>
          <w:color w:val="000000"/>
        </w:rPr>
        <w:t xml:space="preserve"> à l’un des deux autres objectifs retenus par le Département : </w:t>
      </w:r>
      <w:r w:rsidRPr="0052780F">
        <w:t>« Accompagner les personnes dont le profil de prise en charge présente des spécificités »</w:t>
      </w:r>
      <w:r>
        <w:t xml:space="preserve"> et</w:t>
      </w:r>
      <w:r w:rsidRPr="0052780F">
        <w:t xml:space="preserve"> « Apporter un soutien aux aidants des personnes accompagnées »</w:t>
      </w:r>
      <w:r w:rsidR="003425AF">
        <w:t xml:space="preserve"> ; </w:t>
      </w:r>
    </w:p>
    <w:p w:rsidR="003425AF" w:rsidRDefault="003425AF" w:rsidP="003425AF">
      <w:pPr>
        <w:pStyle w:val="Paragraphedeliste"/>
      </w:pPr>
    </w:p>
    <w:p w:rsidR="00AD43AB" w:rsidRPr="002615F6" w:rsidRDefault="003425AF" w:rsidP="002615F6">
      <w:pPr>
        <w:pStyle w:val="Paragraphedeliste"/>
        <w:numPr>
          <w:ilvl w:val="0"/>
          <w:numId w:val="20"/>
        </w:numPr>
        <w:jc w:val="both"/>
      </w:pPr>
      <w:r>
        <w:t xml:space="preserve">Les objectifs </w:t>
      </w:r>
      <w:r w:rsidR="0065624A">
        <w:t>devront être déclinés sur l’intégralité des cinq années du CPOM (par la mise en place d’actions ponctuelles ou pluriannuelles)</w:t>
      </w:r>
      <w:r w:rsidR="00122810">
        <w:t> ;</w:t>
      </w:r>
    </w:p>
    <w:p w:rsidR="00471382" w:rsidRPr="00471382" w:rsidRDefault="00471382" w:rsidP="00471382">
      <w:pPr>
        <w:pStyle w:val="Paragraphedeliste"/>
        <w:rPr>
          <w:rFonts w:ascii="Calibri" w:hAnsi="Calibri" w:cs="Calibri"/>
        </w:rPr>
      </w:pPr>
    </w:p>
    <w:p w:rsidR="00FB195E" w:rsidRPr="00FB195E" w:rsidRDefault="004506DC" w:rsidP="00471382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color w:val="000000"/>
        </w:rPr>
      </w:pPr>
      <w:r w:rsidRPr="00471382">
        <w:rPr>
          <w:rFonts w:ascii="Calibri" w:hAnsi="Calibri" w:cs="Calibri"/>
        </w:rPr>
        <w:t>Le coût</w:t>
      </w:r>
      <w:r w:rsidR="00AD43AB" w:rsidRPr="00471382">
        <w:rPr>
          <w:rFonts w:ascii="Calibri" w:hAnsi="Calibri" w:cs="Calibri"/>
        </w:rPr>
        <w:t xml:space="preserve"> de</w:t>
      </w:r>
      <w:r w:rsidRPr="00471382">
        <w:rPr>
          <w:rFonts w:ascii="Calibri" w:hAnsi="Calibri" w:cs="Calibri"/>
        </w:rPr>
        <w:t xml:space="preserve"> réalisation de</w:t>
      </w:r>
      <w:r w:rsidR="009C73FC" w:rsidRPr="00471382">
        <w:rPr>
          <w:rFonts w:ascii="Calibri" w:hAnsi="Calibri" w:cs="Calibri"/>
        </w:rPr>
        <w:t xml:space="preserve">s actions </w:t>
      </w:r>
      <w:r w:rsidR="00AD43AB" w:rsidRPr="00471382">
        <w:rPr>
          <w:rFonts w:ascii="Calibri" w:hAnsi="Calibri" w:cs="Calibri"/>
        </w:rPr>
        <w:t>proposées dans la candidature du SAD</w:t>
      </w:r>
      <w:r w:rsidR="00286819" w:rsidRPr="00471382">
        <w:rPr>
          <w:rFonts w:ascii="Calibri" w:hAnsi="Calibri" w:cs="Calibri"/>
        </w:rPr>
        <w:t> </w:t>
      </w:r>
      <w:r w:rsidR="00FC43A0">
        <w:rPr>
          <w:rFonts w:ascii="Calibri" w:hAnsi="Calibri" w:cs="Calibri"/>
        </w:rPr>
        <w:t xml:space="preserve">doit être contenu dans </w:t>
      </w:r>
      <w:r w:rsidR="00FB195E">
        <w:rPr>
          <w:rFonts w:ascii="Calibri" w:hAnsi="Calibri" w:cs="Calibri"/>
        </w:rPr>
        <w:t>la dotation complémentaire cible (</w:t>
      </w:r>
      <w:r w:rsidR="001E2CCB">
        <w:t>selon le calcul indiqué dans la partie III. B</w:t>
      </w:r>
      <w:r w:rsidR="00FB195E">
        <w:rPr>
          <w:rFonts w:ascii="Calibri" w:hAnsi="Calibri" w:cs="Calibri"/>
        </w:rPr>
        <w:t>)</w:t>
      </w:r>
      <w:r w:rsidR="00122810">
        <w:rPr>
          <w:rFonts w:ascii="Calibri" w:hAnsi="Calibri" w:cs="Calibri"/>
        </w:rPr>
        <w:t> ;</w:t>
      </w:r>
    </w:p>
    <w:p w:rsidR="00FB195E" w:rsidRPr="00FB195E" w:rsidRDefault="00FB195E" w:rsidP="00FB195E">
      <w:pPr>
        <w:pStyle w:val="Paragraphedeliste"/>
        <w:spacing w:before="120" w:after="120" w:line="240" w:lineRule="auto"/>
        <w:jc w:val="both"/>
        <w:rPr>
          <w:rFonts w:ascii="Calibri" w:hAnsi="Calibri" w:cs="Calibri"/>
          <w:color w:val="000000"/>
        </w:rPr>
      </w:pPr>
    </w:p>
    <w:p w:rsidR="00755834" w:rsidRPr="00755834" w:rsidRDefault="00FC43A0" w:rsidP="00755834">
      <w:pPr>
        <w:pStyle w:val="Paragraphedeliste"/>
        <w:numPr>
          <w:ilvl w:val="0"/>
          <w:numId w:val="10"/>
        </w:numPr>
        <w:spacing w:before="120"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En cas</w:t>
      </w:r>
      <w:r w:rsidR="00FB195E">
        <w:rPr>
          <w:rFonts w:ascii="Calibri" w:hAnsi="Calibri" w:cs="Calibri"/>
        </w:rPr>
        <w:t xml:space="preserve"> de recours à des</w:t>
      </w:r>
      <w:r>
        <w:rPr>
          <w:rFonts w:ascii="Calibri" w:hAnsi="Calibri" w:cs="Calibri"/>
        </w:rPr>
        <w:t xml:space="preserve"> financement</w:t>
      </w:r>
      <w:r w:rsidR="00FB195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FB195E">
        <w:rPr>
          <w:rFonts w:ascii="Calibri" w:hAnsi="Calibri" w:cs="Calibri"/>
        </w:rPr>
        <w:t>extérieurs</w:t>
      </w:r>
      <w:r>
        <w:rPr>
          <w:rFonts w:ascii="Calibri" w:hAnsi="Calibri" w:cs="Calibri"/>
        </w:rPr>
        <w:t xml:space="preserve">, aucune répercussion sur le reste à charge </w:t>
      </w:r>
      <w:r w:rsidR="00FB195E">
        <w:rPr>
          <w:rFonts w:ascii="Calibri" w:hAnsi="Calibri" w:cs="Calibri"/>
        </w:rPr>
        <w:t>ne sera</w:t>
      </w:r>
      <w:r>
        <w:rPr>
          <w:rFonts w:ascii="Calibri" w:hAnsi="Calibri" w:cs="Calibri"/>
        </w:rPr>
        <w:t xml:space="preserve"> permise. </w:t>
      </w:r>
      <w:r w:rsidR="00FB195E">
        <w:rPr>
          <w:rFonts w:ascii="Calibri" w:hAnsi="Calibri" w:cs="Calibri"/>
        </w:rPr>
        <w:t>Le montant de ces financements extérieurs devra être précisé par action</w:t>
      </w:r>
      <w:r w:rsidR="005618BF">
        <w:rPr>
          <w:rFonts w:ascii="Calibri" w:hAnsi="Calibri" w:cs="Calibri"/>
        </w:rPr>
        <w:t xml:space="preserve"> dans l’annexe 1</w:t>
      </w:r>
      <w:r w:rsidR="00FB195E">
        <w:rPr>
          <w:rFonts w:ascii="Calibri" w:hAnsi="Calibri" w:cs="Calibri"/>
        </w:rPr>
        <w:t xml:space="preserve">. </w:t>
      </w:r>
    </w:p>
    <w:p w:rsidR="0044775B" w:rsidRPr="00845B92" w:rsidRDefault="0044775B" w:rsidP="0044775B">
      <w:pPr>
        <w:pStyle w:val="Default"/>
        <w:jc w:val="center"/>
        <w:rPr>
          <w:sz w:val="22"/>
          <w:szCs w:val="22"/>
        </w:rPr>
      </w:pPr>
    </w:p>
    <w:p w:rsidR="00471382" w:rsidRPr="00E8600D" w:rsidRDefault="00845B92" w:rsidP="00471382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 w:rsidRPr="00E8600D">
        <w:rPr>
          <w:sz w:val="22"/>
          <w:szCs w:val="22"/>
          <w:u w:val="single"/>
        </w:rPr>
        <w:t>Nombre de services retenus à l’issue de l’appel à candidature</w:t>
      </w:r>
      <w:r w:rsidR="00614ACD" w:rsidRPr="00E8600D">
        <w:rPr>
          <w:sz w:val="22"/>
          <w:szCs w:val="22"/>
          <w:u w:val="single"/>
        </w:rPr>
        <w:t>s</w:t>
      </w:r>
      <w:r w:rsidRPr="00E8600D">
        <w:rPr>
          <w:sz w:val="22"/>
          <w:szCs w:val="22"/>
          <w:u w:val="single"/>
        </w:rPr>
        <w:t> :</w:t>
      </w:r>
      <w:r w:rsidRPr="00E8600D">
        <w:rPr>
          <w:sz w:val="22"/>
          <w:szCs w:val="22"/>
        </w:rPr>
        <w:t xml:space="preserve"> </w:t>
      </w:r>
    </w:p>
    <w:p w:rsidR="00E8600D" w:rsidRPr="00E8600D" w:rsidRDefault="00E8600D" w:rsidP="00E8600D">
      <w:pPr>
        <w:pStyle w:val="Default"/>
        <w:ind w:left="720"/>
        <w:jc w:val="both"/>
        <w:rPr>
          <w:sz w:val="22"/>
          <w:szCs w:val="22"/>
          <w:u w:val="single"/>
        </w:rPr>
      </w:pPr>
    </w:p>
    <w:p w:rsidR="00845B92" w:rsidRDefault="00304170" w:rsidP="0076112E">
      <w:pPr>
        <w:pStyle w:val="Default"/>
        <w:jc w:val="both"/>
        <w:rPr>
          <w:sz w:val="22"/>
          <w:szCs w:val="22"/>
        </w:rPr>
      </w:pPr>
      <w:r w:rsidRPr="00B65FC9">
        <w:rPr>
          <w:sz w:val="22"/>
          <w:szCs w:val="22"/>
        </w:rPr>
        <w:t xml:space="preserve">Les </w:t>
      </w:r>
      <w:r w:rsidR="00363D46">
        <w:rPr>
          <w:sz w:val="22"/>
          <w:szCs w:val="22"/>
        </w:rPr>
        <w:t>dossiers</w:t>
      </w:r>
      <w:r w:rsidRPr="00B65FC9">
        <w:rPr>
          <w:sz w:val="22"/>
          <w:szCs w:val="22"/>
        </w:rPr>
        <w:t xml:space="preserve"> remplissant l’intégralité des critères énoncés ci-dessus seront retenus, </w:t>
      </w:r>
      <w:r w:rsidR="007A51D1" w:rsidRPr="007A51D1">
        <w:rPr>
          <w:sz w:val="22"/>
          <w:szCs w:val="22"/>
        </w:rPr>
        <w:t>étant entendu que chaque dossier retenu fera l’objet d’un CPOM distinct</w:t>
      </w:r>
      <w:r w:rsidR="007A51D1">
        <w:rPr>
          <w:sz w:val="22"/>
          <w:szCs w:val="22"/>
        </w:rPr>
        <w:t xml:space="preserve">, </w:t>
      </w:r>
      <w:r w:rsidRPr="007A51D1">
        <w:rPr>
          <w:sz w:val="22"/>
          <w:szCs w:val="22"/>
        </w:rPr>
        <w:t>sous réserve de l’appréciation et de l’analyse du Département.</w:t>
      </w:r>
    </w:p>
    <w:p w:rsidR="007A51D1" w:rsidRDefault="007A51D1" w:rsidP="0076112E">
      <w:pPr>
        <w:pStyle w:val="Default"/>
        <w:jc w:val="both"/>
        <w:rPr>
          <w:sz w:val="22"/>
          <w:szCs w:val="22"/>
        </w:rPr>
      </w:pPr>
    </w:p>
    <w:p w:rsidR="0004143B" w:rsidRDefault="0004143B" w:rsidP="0076112E">
      <w:pPr>
        <w:pStyle w:val="Default"/>
        <w:jc w:val="both"/>
        <w:rPr>
          <w:sz w:val="22"/>
          <w:szCs w:val="22"/>
        </w:rPr>
      </w:pPr>
    </w:p>
    <w:p w:rsidR="0004143B" w:rsidRDefault="0004143B" w:rsidP="0076112E">
      <w:pPr>
        <w:pStyle w:val="Default"/>
        <w:jc w:val="both"/>
        <w:rPr>
          <w:sz w:val="22"/>
          <w:szCs w:val="22"/>
        </w:rPr>
      </w:pPr>
    </w:p>
    <w:p w:rsidR="0004143B" w:rsidRDefault="0004143B" w:rsidP="0076112E">
      <w:pPr>
        <w:pStyle w:val="Default"/>
        <w:jc w:val="both"/>
        <w:rPr>
          <w:sz w:val="22"/>
          <w:szCs w:val="22"/>
        </w:rPr>
      </w:pPr>
    </w:p>
    <w:p w:rsidR="00E3050A" w:rsidRPr="00E3050A" w:rsidRDefault="00F40528" w:rsidP="0076112E">
      <w:pPr>
        <w:pStyle w:val="Default"/>
        <w:numPr>
          <w:ilvl w:val="0"/>
          <w:numId w:val="8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Notification et p</w:t>
      </w:r>
      <w:r w:rsidR="00E3050A" w:rsidRPr="00E3050A">
        <w:rPr>
          <w:sz w:val="22"/>
          <w:szCs w:val="22"/>
          <w:u w:val="single"/>
        </w:rPr>
        <w:t>ublication des résultats :</w:t>
      </w:r>
    </w:p>
    <w:p w:rsidR="00B21AE6" w:rsidRDefault="00B21AE6" w:rsidP="0076112E">
      <w:pPr>
        <w:jc w:val="both"/>
      </w:pPr>
    </w:p>
    <w:p w:rsidR="0061399B" w:rsidRDefault="00B77D9A" w:rsidP="0076112E">
      <w:pPr>
        <w:jc w:val="both"/>
      </w:pPr>
      <w:r w:rsidRPr="00C67CC7">
        <w:t>L</w:t>
      </w:r>
      <w:r w:rsidR="00E71FF2" w:rsidRPr="00C67CC7">
        <w:t>e C</w:t>
      </w:r>
      <w:r w:rsidR="0061399B" w:rsidRPr="00C67CC7">
        <w:t xml:space="preserve">onseil départemental notifiera </w:t>
      </w:r>
      <w:r w:rsidR="00F40528" w:rsidRPr="00C67CC7">
        <w:t>sa décision à chacun des services</w:t>
      </w:r>
      <w:r w:rsidR="002A1B3F" w:rsidRPr="00C67CC7">
        <w:t xml:space="preserve"> candidats</w:t>
      </w:r>
      <w:r w:rsidR="0061399B" w:rsidRPr="00C67CC7">
        <w:t xml:space="preserve"> </w:t>
      </w:r>
      <w:r w:rsidR="008C71C0" w:rsidRPr="00C67CC7">
        <w:t xml:space="preserve">à partir du </w:t>
      </w:r>
      <w:r w:rsidR="0061399B" w:rsidRPr="00C67CC7">
        <w:t>1</w:t>
      </w:r>
      <w:r w:rsidR="0061399B" w:rsidRPr="00C67CC7">
        <w:rPr>
          <w:vertAlign w:val="superscript"/>
        </w:rPr>
        <w:t>er</w:t>
      </w:r>
      <w:r w:rsidR="0061399B" w:rsidRPr="00C67CC7">
        <w:t xml:space="preserve"> mars 202</w:t>
      </w:r>
      <w:r w:rsidR="0008550B" w:rsidRPr="00C67CC7">
        <w:t>4</w:t>
      </w:r>
      <w:r w:rsidR="0061399B" w:rsidRPr="00C67CC7">
        <w:t>.</w:t>
      </w:r>
    </w:p>
    <w:p w:rsidR="00170BD5" w:rsidRDefault="0061399B" w:rsidP="0076112E">
      <w:pPr>
        <w:jc w:val="both"/>
      </w:pPr>
      <w:r>
        <w:t>Le D</w:t>
      </w:r>
      <w:r w:rsidR="00610730">
        <w:t xml:space="preserve">épartement entame le processus de contractualisation avec l’ensemble des SAD retenus. </w:t>
      </w:r>
    </w:p>
    <w:p w:rsidR="00B16864" w:rsidRDefault="00B16864" w:rsidP="0076112E">
      <w:pPr>
        <w:jc w:val="both"/>
      </w:pPr>
    </w:p>
    <w:p w:rsidR="006D538E" w:rsidRDefault="00B21AE6" w:rsidP="00B73845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4C41C7">
        <w:rPr>
          <w:b/>
          <w:u w:val="single"/>
        </w:rPr>
        <w:t>Calendrier récapitulatif</w:t>
      </w:r>
      <w:r w:rsidR="006D538E" w:rsidRPr="004C41C7">
        <w:rPr>
          <w:b/>
          <w:u w:val="single"/>
        </w:rPr>
        <w:t xml:space="preserve"> (indicatif)</w:t>
      </w:r>
    </w:p>
    <w:p w:rsidR="00B73845" w:rsidRPr="00B73845" w:rsidRDefault="00B73845" w:rsidP="00B73845">
      <w:pPr>
        <w:pStyle w:val="Paragraphedeliste"/>
        <w:ind w:left="1080"/>
        <w:jc w:val="both"/>
        <w:rPr>
          <w:b/>
          <w:u w:val="single"/>
        </w:rPr>
      </w:pPr>
    </w:p>
    <w:tbl>
      <w:tblPr>
        <w:tblStyle w:val="Grilledutablea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90E41" w:rsidRPr="0093201A" w:rsidTr="006F3EAD">
        <w:tc>
          <w:tcPr>
            <w:tcW w:w="4606" w:type="dxa"/>
            <w:shd w:val="clear" w:color="auto" w:fill="auto"/>
          </w:tcPr>
          <w:p w:rsidR="00B90E41" w:rsidRPr="00DC1E47" w:rsidRDefault="00B90E41" w:rsidP="00B90E41">
            <w:pPr>
              <w:jc w:val="both"/>
            </w:pPr>
            <w:r w:rsidRPr="00DC1E47">
              <w:t>Publication de l’appel à candidatures</w:t>
            </w:r>
          </w:p>
        </w:tc>
        <w:tc>
          <w:tcPr>
            <w:tcW w:w="4606" w:type="dxa"/>
            <w:shd w:val="clear" w:color="auto" w:fill="auto"/>
          </w:tcPr>
          <w:p w:rsidR="00B90E41" w:rsidRPr="00B65FC9" w:rsidRDefault="00CD1196" w:rsidP="00B90E41">
            <w:pPr>
              <w:jc w:val="both"/>
            </w:pPr>
            <w:r w:rsidRPr="00CD1196">
              <w:t>02</w:t>
            </w:r>
            <w:r w:rsidR="004C41C7" w:rsidRPr="00CD1196">
              <w:t>/</w:t>
            </w:r>
            <w:r w:rsidRPr="00CD1196">
              <w:t>11</w:t>
            </w:r>
            <w:r w:rsidR="004C41C7" w:rsidRPr="00CD1196">
              <w:t>/202</w:t>
            </w:r>
            <w:r w:rsidR="004E474B" w:rsidRPr="00CD1196">
              <w:t>3</w:t>
            </w:r>
            <w:r w:rsidR="00B90E41" w:rsidRPr="00B65FC9">
              <w:t xml:space="preserve"> </w:t>
            </w:r>
          </w:p>
        </w:tc>
      </w:tr>
      <w:tr w:rsidR="00B90E41" w:rsidRPr="0093201A" w:rsidTr="006F3EAD">
        <w:tc>
          <w:tcPr>
            <w:tcW w:w="4606" w:type="dxa"/>
            <w:shd w:val="clear" w:color="auto" w:fill="auto"/>
          </w:tcPr>
          <w:p w:rsidR="00B90E41" w:rsidRPr="00DC1E47" w:rsidRDefault="00B90E41" w:rsidP="00B90E41">
            <w:pPr>
              <w:jc w:val="both"/>
            </w:pPr>
            <w:r w:rsidRPr="00DC1E47">
              <w:t>Date limite de réponse à l’appel à candidatures</w:t>
            </w:r>
          </w:p>
        </w:tc>
        <w:tc>
          <w:tcPr>
            <w:tcW w:w="4606" w:type="dxa"/>
            <w:shd w:val="clear" w:color="auto" w:fill="auto"/>
          </w:tcPr>
          <w:p w:rsidR="00B90E41" w:rsidRPr="00B65FC9" w:rsidRDefault="004C41C7" w:rsidP="00B90E41">
            <w:pPr>
              <w:jc w:val="both"/>
            </w:pPr>
            <w:r>
              <w:t>31/12</w:t>
            </w:r>
            <w:r w:rsidR="00B90E41" w:rsidRPr="00B65FC9">
              <w:t>/202</w:t>
            </w:r>
            <w:r w:rsidR="004E474B">
              <w:t>3</w:t>
            </w:r>
            <w:r w:rsidR="00B90E41" w:rsidRPr="00B65FC9">
              <w:t xml:space="preserve"> </w:t>
            </w:r>
          </w:p>
        </w:tc>
      </w:tr>
      <w:tr w:rsidR="00B90E41" w:rsidRPr="0093201A" w:rsidTr="006F3EAD">
        <w:tc>
          <w:tcPr>
            <w:tcW w:w="4606" w:type="dxa"/>
            <w:shd w:val="clear" w:color="auto" w:fill="auto"/>
          </w:tcPr>
          <w:p w:rsidR="00B90E41" w:rsidRPr="00DC1E47" w:rsidRDefault="00B90E41" w:rsidP="00B90E41">
            <w:pPr>
              <w:jc w:val="both"/>
            </w:pPr>
            <w:r w:rsidRPr="00DC1E47">
              <w:t>Etude des candidatures</w:t>
            </w:r>
          </w:p>
        </w:tc>
        <w:tc>
          <w:tcPr>
            <w:tcW w:w="4606" w:type="dxa"/>
            <w:shd w:val="clear" w:color="auto" w:fill="auto"/>
          </w:tcPr>
          <w:p w:rsidR="00B90E41" w:rsidRPr="00B65FC9" w:rsidRDefault="004C41C7" w:rsidP="00B90E41">
            <w:pPr>
              <w:jc w:val="both"/>
            </w:pPr>
            <w:r>
              <w:t>Du 01/01/202</w:t>
            </w:r>
            <w:r w:rsidR="002922F0">
              <w:t>4</w:t>
            </w:r>
            <w:r>
              <w:t xml:space="preserve"> au </w:t>
            </w:r>
            <w:r w:rsidR="002922F0">
              <w:t>28</w:t>
            </w:r>
            <w:r>
              <w:t>/</w:t>
            </w:r>
            <w:r w:rsidR="002922F0">
              <w:t>02</w:t>
            </w:r>
            <w:r>
              <w:t>/202</w:t>
            </w:r>
            <w:r w:rsidR="002922F0">
              <w:t>4</w:t>
            </w:r>
          </w:p>
        </w:tc>
      </w:tr>
      <w:tr w:rsidR="000943A5" w:rsidRPr="0093201A" w:rsidTr="006F3EAD">
        <w:tc>
          <w:tcPr>
            <w:tcW w:w="4606" w:type="dxa"/>
            <w:shd w:val="clear" w:color="auto" w:fill="auto"/>
          </w:tcPr>
          <w:p w:rsidR="000943A5" w:rsidRDefault="000943A5" w:rsidP="004C41C7">
            <w:pPr>
              <w:jc w:val="both"/>
            </w:pPr>
            <w:r>
              <w:t xml:space="preserve">Notification des résultats </w:t>
            </w:r>
          </w:p>
        </w:tc>
        <w:tc>
          <w:tcPr>
            <w:tcW w:w="4606" w:type="dxa"/>
            <w:shd w:val="clear" w:color="auto" w:fill="auto"/>
          </w:tcPr>
          <w:p w:rsidR="000943A5" w:rsidRPr="00C67CC7" w:rsidRDefault="000943A5" w:rsidP="004C41C7">
            <w:r w:rsidRPr="00C67CC7">
              <w:t xml:space="preserve">Semaine du </w:t>
            </w:r>
            <w:r w:rsidR="004C41C7" w:rsidRPr="00C67CC7">
              <w:t>01/03/202</w:t>
            </w:r>
            <w:r w:rsidR="002922F0" w:rsidRPr="00C67CC7">
              <w:t>4</w:t>
            </w:r>
            <w:r w:rsidR="004C41C7" w:rsidRPr="00C67CC7">
              <w:t xml:space="preserve"> </w:t>
            </w:r>
          </w:p>
        </w:tc>
      </w:tr>
      <w:tr w:rsidR="00B90E41" w:rsidRPr="0093201A" w:rsidTr="006F3EAD">
        <w:tc>
          <w:tcPr>
            <w:tcW w:w="4606" w:type="dxa"/>
            <w:shd w:val="clear" w:color="auto" w:fill="auto"/>
          </w:tcPr>
          <w:p w:rsidR="00B90E41" w:rsidRDefault="004C41C7" w:rsidP="00B90E41">
            <w:pPr>
              <w:jc w:val="both"/>
            </w:pPr>
            <w:r>
              <w:t>Période de</w:t>
            </w:r>
            <w:r w:rsidR="000943A5" w:rsidRPr="00DC1E47">
              <w:t xml:space="preserve"> négociation des CPOM</w:t>
            </w:r>
          </w:p>
        </w:tc>
        <w:tc>
          <w:tcPr>
            <w:tcW w:w="4606" w:type="dxa"/>
            <w:shd w:val="clear" w:color="auto" w:fill="auto"/>
          </w:tcPr>
          <w:p w:rsidR="00B90E41" w:rsidRPr="00C67CC7" w:rsidRDefault="004C41C7" w:rsidP="00B90E41">
            <w:pPr>
              <w:jc w:val="both"/>
            </w:pPr>
            <w:r w:rsidRPr="00C67CC7">
              <w:t>Du 01/03/2023 au 30/04/2023</w:t>
            </w:r>
          </w:p>
        </w:tc>
      </w:tr>
      <w:tr w:rsidR="000943A5" w:rsidRPr="0093201A" w:rsidTr="006F3EAD">
        <w:tc>
          <w:tcPr>
            <w:tcW w:w="4606" w:type="dxa"/>
            <w:shd w:val="clear" w:color="auto" w:fill="auto"/>
          </w:tcPr>
          <w:p w:rsidR="000943A5" w:rsidRPr="00DC1E47" w:rsidRDefault="000943A5" w:rsidP="000943A5">
            <w:pPr>
              <w:jc w:val="both"/>
            </w:pPr>
            <w:r w:rsidRPr="00DC1E47">
              <w:t>Date-limite de signature des CPOM</w:t>
            </w:r>
          </w:p>
        </w:tc>
        <w:tc>
          <w:tcPr>
            <w:tcW w:w="4606" w:type="dxa"/>
            <w:shd w:val="clear" w:color="auto" w:fill="auto"/>
          </w:tcPr>
          <w:p w:rsidR="000943A5" w:rsidRPr="0024140B" w:rsidRDefault="004C41C7" w:rsidP="000943A5">
            <w:pPr>
              <w:jc w:val="both"/>
            </w:pPr>
            <w:r>
              <w:t>01/05/202</w:t>
            </w:r>
            <w:r w:rsidR="002922F0">
              <w:t>4</w:t>
            </w:r>
          </w:p>
        </w:tc>
      </w:tr>
    </w:tbl>
    <w:p w:rsidR="00E50124" w:rsidRPr="00021102" w:rsidRDefault="00E50124" w:rsidP="00EA6DB9">
      <w:pPr>
        <w:rPr>
          <w:b/>
        </w:rPr>
      </w:pPr>
    </w:p>
    <w:sectPr w:rsidR="00E50124" w:rsidRPr="00021102" w:rsidSect="0002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C8" w:rsidRDefault="00345AC8" w:rsidP="003D33E9">
      <w:pPr>
        <w:spacing w:after="0" w:line="240" w:lineRule="auto"/>
      </w:pPr>
      <w:r>
        <w:separator/>
      </w:r>
    </w:p>
  </w:endnote>
  <w:endnote w:type="continuationSeparator" w:id="0">
    <w:p w:rsidR="00345AC8" w:rsidRDefault="00345AC8" w:rsidP="003D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C8" w:rsidRDefault="00345AC8" w:rsidP="003D33E9">
      <w:pPr>
        <w:spacing w:after="0" w:line="240" w:lineRule="auto"/>
      </w:pPr>
      <w:r>
        <w:separator/>
      </w:r>
    </w:p>
  </w:footnote>
  <w:footnote w:type="continuationSeparator" w:id="0">
    <w:p w:rsidR="00345AC8" w:rsidRDefault="00345AC8" w:rsidP="003D33E9">
      <w:pPr>
        <w:spacing w:after="0" w:line="240" w:lineRule="auto"/>
      </w:pPr>
      <w:r>
        <w:continuationSeparator/>
      </w:r>
    </w:p>
  </w:footnote>
  <w:footnote w:id="1">
    <w:p w:rsidR="00DA5148" w:rsidRPr="00FD58F6" w:rsidRDefault="00DA5148" w:rsidP="00FD58F6">
      <w:pPr>
        <w:pStyle w:val="Notedebasdepage"/>
        <w:jc w:val="both"/>
        <w:rPr>
          <w:i/>
        </w:rPr>
      </w:pPr>
      <w:r w:rsidRPr="0002796D">
        <w:rPr>
          <w:rStyle w:val="Appelnotedebasdep"/>
          <w:i/>
        </w:rPr>
        <w:footnoteRef/>
      </w:r>
      <w:r w:rsidRPr="0002796D">
        <w:rPr>
          <w:i/>
        </w:rPr>
        <w:t xml:space="preserve"> </w:t>
      </w:r>
      <w:r w:rsidR="00FD58F6" w:rsidRPr="0002796D">
        <w:rPr>
          <w:i/>
        </w:rPr>
        <w:t xml:space="preserve">Décret n° 2023-608 du 13 juillet 2023 relatif aux services autonomie à domicile mentionnés à l'article L. 313-1-3 du code de l'action sociale et des familles et aux services d'aide et d'accompagnement à domicile relevant des 1° et 16° du I de l'article L. 312-1 du même code </w:t>
      </w:r>
      <w:r w:rsidR="00FD58F6" w:rsidRPr="0002796D">
        <w:rPr>
          <w:i/>
        </w:rPr>
        <w:sym w:font="Wingdings" w:char="F0E8"/>
      </w:r>
      <w:r w:rsidR="00FD58F6" w:rsidRPr="0002796D">
        <w:rPr>
          <w:i/>
        </w:rPr>
        <w:t xml:space="preserve"> les anciens SPASAD et SAAD sont désormais réputés autorisés comme SAD jusqu’à la fin de leur autorisation.</w:t>
      </w:r>
    </w:p>
  </w:footnote>
  <w:footnote w:id="2">
    <w:p w:rsidR="00FD58F6" w:rsidRPr="00FD58F6" w:rsidRDefault="00FD58F6">
      <w:pPr>
        <w:pStyle w:val="Notedebasdepage"/>
        <w:rPr>
          <w:i/>
        </w:rPr>
      </w:pPr>
      <w:r w:rsidRPr="0002796D">
        <w:rPr>
          <w:rStyle w:val="Appelnotedebasdep"/>
          <w:i/>
        </w:rPr>
        <w:footnoteRef/>
      </w:r>
      <w:r w:rsidRPr="0002796D">
        <w:rPr>
          <w:i/>
        </w:rPr>
        <w:t xml:space="preserve"> 3.144 € correspond au montant forfaitaire de la dotation complémentaire fixé pour l’année 2023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7AC"/>
    <w:multiLevelType w:val="hybridMultilevel"/>
    <w:tmpl w:val="CA7EF3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BC8"/>
    <w:multiLevelType w:val="hybridMultilevel"/>
    <w:tmpl w:val="FCAC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186"/>
    <w:multiLevelType w:val="hybridMultilevel"/>
    <w:tmpl w:val="F0D22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43E"/>
    <w:multiLevelType w:val="hybridMultilevel"/>
    <w:tmpl w:val="90FC9030"/>
    <w:lvl w:ilvl="0" w:tplc="AF90D45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D7B4A"/>
    <w:multiLevelType w:val="hybridMultilevel"/>
    <w:tmpl w:val="942855A8"/>
    <w:lvl w:ilvl="0" w:tplc="BDE47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34CA"/>
    <w:multiLevelType w:val="hybridMultilevel"/>
    <w:tmpl w:val="A93CC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5BB6"/>
    <w:multiLevelType w:val="hybridMultilevel"/>
    <w:tmpl w:val="28F6C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5EA9"/>
    <w:multiLevelType w:val="hybridMultilevel"/>
    <w:tmpl w:val="AFDC3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44ED"/>
    <w:multiLevelType w:val="hybridMultilevel"/>
    <w:tmpl w:val="88465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1D49C4E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D0ECC"/>
    <w:multiLevelType w:val="hybridMultilevel"/>
    <w:tmpl w:val="58A644EE"/>
    <w:lvl w:ilvl="0" w:tplc="12BAC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80D0C"/>
    <w:multiLevelType w:val="hybridMultilevel"/>
    <w:tmpl w:val="A81CE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B3419"/>
    <w:multiLevelType w:val="hybridMultilevel"/>
    <w:tmpl w:val="3AB6A424"/>
    <w:lvl w:ilvl="0" w:tplc="6744F8B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85B39"/>
    <w:multiLevelType w:val="hybridMultilevel"/>
    <w:tmpl w:val="11EAC002"/>
    <w:lvl w:ilvl="0" w:tplc="AFA04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B185E"/>
    <w:multiLevelType w:val="hybridMultilevel"/>
    <w:tmpl w:val="F6105F26"/>
    <w:lvl w:ilvl="0" w:tplc="CEAE7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D498A"/>
    <w:multiLevelType w:val="hybridMultilevel"/>
    <w:tmpl w:val="E516335E"/>
    <w:lvl w:ilvl="0" w:tplc="117E79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14FA"/>
    <w:multiLevelType w:val="hybridMultilevel"/>
    <w:tmpl w:val="F572AA88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594B98"/>
    <w:multiLevelType w:val="hybridMultilevel"/>
    <w:tmpl w:val="81D8BA1E"/>
    <w:lvl w:ilvl="0" w:tplc="61D49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81D08"/>
    <w:multiLevelType w:val="hybridMultilevel"/>
    <w:tmpl w:val="158ABC24"/>
    <w:lvl w:ilvl="0" w:tplc="74F8C2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1A6"/>
    <w:multiLevelType w:val="hybridMultilevel"/>
    <w:tmpl w:val="88BC2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C2EBF"/>
    <w:multiLevelType w:val="hybridMultilevel"/>
    <w:tmpl w:val="CFF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34C8"/>
    <w:multiLevelType w:val="hybridMultilevel"/>
    <w:tmpl w:val="1AC20C4E"/>
    <w:lvl w:ilvl="0" w:tplc="CB0417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51886"/>
    <w:multiLevelType w:val="hybridMultilevel"/>
    <w:tmpl w:val="A078CD8A"/>
    <w:lvl w:ilvl="0" w:tplc="B8205B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9"/>
  </w:num>
  <w:num w:numId="15">
    <w:abstractNumId w:val="21"/>
  </w:num>
  <w:num w:numId="16">
    <w:abstractNumId w:val="6"/>
  </w:num>
  <w:num w:numId="17">
    <w:abstractNumId w:val="1"/>
  </w:num>
  <w:num w:numId="18">
    <w:abstractNumId w:val="7"/>
  </w:num>
  <w:num w:numId="19">
    <w:abstractNumId w:val="16"/>
  </w:num>
  <w:num w:numId="20">
    <w:abstractNumId w:val="10"/>
  </w:num>
  <w:num w:numId="21">
    <w:abstractNumId w:val="15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7A"/>
    <w:rsid w:val="00007ADB"/>
    <w:rsid w:val="00011977"/>
    <w:rsid w:val="00021102"/>
    <w:rsid w:val="0002796D"/>
    <w:rsid w:val="00032492"/>
    <w:rsid w:val="000367BE"/>
    <w:rsid w:val="00040685"/>
    <w:rsid w:val="0004143B"/>
    <w:rsid w:val="00044CD1"/>
    <w:rsid w:val="00052863"/>
    <w:rsid w:val="00066CC5"/>
    <w:rsid w:val="0008550B"/>
    <w:rsid w:val="000943A5"/>
    <w:rsid w:val="00094528"/>
    <w:rsid w:val="000F42F1"/>
    <w:rsid w:val="00105150"/>
    <w:rsid w:val="001070FD"/>
    <w:rsid w:val="00113EB2"/>
    <w:rsid w:val="0011652E"/>
    <w:rsid w:val="00122810"/>
    <w:rsid w:val="001228A2"/>
    <w:rsid w:val="00122DF2"/>
    <w:rsid w:val="00127C9C"/>
    <w:rsid w:val="0013587F"/>
    <w:rsid w:val="00136065"/>
    <w:rsid w:val="001417E8"/>
    <w:rsid w:val="00151EB8"/>
    <w:rsid w:val="001539B5"/>
    <w:rsid w:val="00160C74"/>
    <w:rsid w:val="00161A33"/>
    <w:rsid w:val="00170895"/>
    <w:rsid w:val="00170BD5"/>
    <w:rsid w:val="00172DAD"/>
    <w:rsid w:val="001845B8"/>
    <w:rsid w:val="001B08F7"/>
    <w:rsid w:val="001C21A7"/>
    <w:rsid w:val="001C6465"/>
    <w:rsid w:val="001C7A7D"/>
    <w:rsid w:val="001D2F1D"/>
    <w:rsid w:val="001E1FD2"/>
    <w:rsid w:val="001E20B3"/>
    <w:rsid w:val="001E2CCB"/>
    <w:rsid w:val="001E39E3"/>
    <w:rsid w:val="00207217"/>
    <w:rsid w:val="00230FAB"/>
    <w:rsid w:val="002372B9"/>
    <w:rsid w:val="0024140B"/>
    <w:rsid w:val="002615F6"/>
    <w:rsid w:val="00266CC2"/>
    <w:rsid w:val="002773B9"/>
    <w:rsid w:val="00286819"/>
    <w:rsid w:val="002922F0"/>
    <w:rsid w:val="002A1B3F"/>
    <w:rsid w:val="002B03D7"/>
    <w:rsid w:val="002B1777"/>
    <w:rsid w:val="002B5C60"/>
    <w:rsid w:val="002C3112"/>
    <w:rsid w:val="002E0323"/>
    <w:rsid w:val="002E19A2"/>
    <w:rsid w:val="002F6A66"/>
    <w:rsid w:val="00304170"/>
    <w:rsid w:val="00324687"/>
    <w:rsid w:val="003425AF"/>
    <w:rsid w:val="00345AC8"/>
    <w:rsid w:val="00363D46"/>
    <w:rsid w:val="00377863"/>
    <w:rsid w:val="003942F8"/>
    <w:rsid w:val="003A2E28"/>
    <w:rsid w:val="003A7A96"/>
    <w:rsid w:val="003B129B"/>
    <w:rsid w:val="003B5415"/>
    <w:rsid w:val="003B590B"/>
    <w:rsid w:val="003B68EE"/>
    <w:rsid w:val="003D07C5"/>
    <w:rsid w:val="003D16E3"/>
    <w:rsid w:val="003D33E9"/>
    <w:rsid w:val="003D5E9D"/>
    <w:rsid w:val="003E7BC0"/>
    <w:rsid w:val="00424209"/>
    <w:rsid w:val="00443C17"/>
    <w:rsid w:val="004454DD"/>
    <w:rsid w:val="0044775B"/>
    <w:rsid w:val="004506DC"/>
    <w:rsid w:val="00464280"/>
    <w:rsid w:val="00471382"/>
    <w:rsid w:val="00472401"/>
    <w:rsid w:val="00483E0A"/>
    <w:rsid w:val="00490E43"/>
    <w:rsid w:val="0049193C"/>
    <w:rsid w:val="00491FCC"/>
    <w:rsid w:val="00492F16"/>
    <w:rsid w:val="004A0964"/>
    <w:rsid w:val="004B4D61"/>
    <w:rsid w:val="004B72B5"/>
    <w:rsid w:val="004C0BD9"/>
    <w:rsid w:val="004C41C7"/>
    <w:rsid w:val="004D2C07"/>
    <w:rsid w:val="004D6A4B"/>
    <w:rsid w:val="004E0054"/>
    <w:rsid w:val="004E474B"/>
    <w:rsid w:val="004E594E"/>
    <w:rsid w:val="004E7C01"/>
    <w:rsid w:val="004F25D1"/>
    <w:rsid w:val="004F6736"/>
    <w:rsid w:val="005067E7"/>
    <w:rsid w:val="00514AB4"/>
    <w:rsid w:val="00522D3B"/>
    <w:rsid w:val="0052780F"/>
    <w:rsid w:val="00527C5F"/>
    <w:rsid w:val="0054715A"/>
    <w:rsid w:val="005502B1"/>
    <w:rsid w:val="00551992"/>
    <w:rsid w:val="005618BF"/>
    <w:rsid w:val="00561FD0"/>
    <w:rsid w:val="005629B7"/>
    <w:rsid w:val="00592151"/>
    <w:rsid w:val="0059691F"/>
    <w:rsid w:val="005A3EB6"/>
    <w:rsid w:val="005B3056"/>
    <w:rsid w:val="005C6391"/>
    <w:rsid w:val="005D0834"/>
    <w:rsid w:val="005D60FF"/>
    <w:rsid w:val="005E503F"/>
    <w:rsid w:val="005E68DC"/>
    <w:rsid w:val="00607274"/>
    <w:rsid w:val="00607DAC"/>
    <w:rsid w:val="00610730"/>
    <w:rsid w:val="0061399B"/>
    <w:rsid w:val="00614ACD"/>
    <w:rsid w:val="00616158"/>
    <w:rsid w:val="0061687A"/>
    <w:rsid w:val="00651AE1"/>
    <w:rsid w:val="0065624A"/>
    <w:rsid w:val="00662C02"/>
    <w:rsid w:val="00672794"/>
    <w:rsid w:val="00674840"/>
    <w:rsid w:val="006750EC"/>
    <w:rsid w:val="00680861"/>
    <w:rsid w:val="00680EE1"/>
    <w:rsid w:val="00696AC8"/>
    <w:rsid w:val="006D538E"/>
    <w:rsid w:val="006D6E1E"/>
    <w:rsid w:val="006E71D8"/>
    <w:rsid w:val="006F069E"/>
    <w:rsid w:val="00736B1A"/>
    <w:rsid w:val="00737104"/>
    <w:rsid w:val="0074112A"/>
    <w:rsid w:val="00755834"/>
    <w:rsid w:val="00757EFC"/>
    <w:rsid w:val="0076112E"/>
    <w:rsid w:val="00767C14"/>
    <w:rsid w:val="00783F3C"/>
    <w:rsid w:val="007A51D1"/>
    <w:rsid w:val="007C3A93"/>
    <w:rsid w:val="007E2A9C"/>
    <w:rsid w:val="007E78DA"/>
    <w:rsid w:val="007F0071"/>
    <w:rsid w:val="008166EF"/>
    <w:rsid w:val="008256A9"/>
    <w:rsid w:val="008263B8"/>
    <w:rsid w:val="00843BF0"/>
    <w:rsid w:val="00845B92"/>
    <w:rsid w:val="00852E58"/>
    <w:rsid w:val="00864EB7"/>
    <w:rsid w:val="0086532F"/>
    <w:rsid w:val="00886947"/>
    <w:rsid w:val="00890642"/>
    <w:rsid w:val="008A4A11"/>
    <w:rsid w:val="008B11A6"/>
    <w:rsid w:val="008B65AD"/>
    <w:rsid w:val="008C71C0"/>
    <w:rsid w:val="008D04A6"/>
    <w:rsid w:val="008D0D9D"/>
    <w:rsid w:val="008E040B"/>
    <w:rsid w:val="008E7082"/>
    <w:rsid w:val="00911952"/>
    <w:rsid w:val="0091752F"/>
    <w:rsid w:val="0092000F"/>
    <w:rsid w:val="00933A59"/>
    <w:rsid w:val="00940052"/>
    <w:rsid w:val="0094496C"/>
    <w:rsid w:val="009452AB"/>
    <w:rsid w:val="00951713"/>
    <w:rsid w:val="00952E10"/>
    <w:rsid w:val="00956B61"/>
    <w:rsid w:val="00960627"/>
    <w:rsid w:val="00973B97"/>
    <w:rsid w:val="009750A7"/>
    <w:rsid w:val="00975D5D"/>
    <w:rsid w:val="009929A8"/>
    <w:rsid w:val="00996E76"/>
    <w:rsid w:val="009B1970"/>
    <w:rsid w:val="009C1828"/>
    <w:rsid w:val="009C73FC"/>
    <w:rsid w:val="009D189E"/>
    <w:rsid w:val="009D298A"/>
    <w:rsid w:val="009D7433"/>
    <w:rsid w:val="009E1489"/>
    <w:rsid w:val="009E45CD"/>
    <w:rsid w:val="009E67C6"/>
    <w:rsid w:val="009E6E30"/>
    <w:rsid w:val="009F6FEE"/>
    <w:rsid w:val="00A11C0F"/>
    <w:rsid w:val="00A24A4A"/>
    <w:rsid w:val="00A319DE"/>
    <w:rsid w:val="00A354AB"/>
    <w:rsid w:val="00A46BD7"/>
    <w:rsid w:val="00A51787"/>
    <w:rsid w:val="00A56AD6"/>
    <w:rsid w:val="00AB01B9"/>
    <w:rsid w:val="00AB3331"/>
    <w:rsid w:val="00AC32CD"/>
    <w:rsid w:val="00AC794B"/>
    <w:rsid w:val="00AD43AB"/>
    <w:rsid w:val="00AE6EAA"/>
    <w:rsid w:val="00AE760E"/>
    <w:rsid w:val="00AF59D1"/>
    <w:rsid w:val="00B16864"/>
    <w:rsid w:val="00B21AE6"/>
    <w:rsid w:val="00B358EC"/>
    <w:rsid w:val="00B43F06"/>
    <w:rsid w:val="00B5010C"/>
    <w:rsid w:val="00B65FC9"/>
    <w:rsid w:val="00B70520"/>
    <w:rsid w:val="00B73845"/>
    <w:rsid w:val="00B77D9A"/>
    <w:rsid w:val="00B90E41"/>
    <w:rsid w:val="00BA1CA9"/>
    <w:rsid w:val="00BA4C73"/>
    <w:rsid w:val="00BB5D36"/>
    <w:rsid w:val="00BB6096"/>
    <w:rsid w:val="00BC6EB5"/>
    <w:rsid w:val="00BD7ECF"/>
    <w:rsid w:val="00BE23A5"/>
    <w:rsid w:val="00BE32B4"/>
    <w:rsid w:val="00BE3328"/>
    <w:rsid w:val="00BE5F13"/>
    <w:rsid w:val="00C33715"/>
    <w:rsid w:val="00C3472C"/>
    <w:rsid w:val="00C563B9"/>
    <w:rsid w:val="00C67CC7"/>
    <w:rsid w:val="00C73B98"/>
    <w:rsid w:val="00C83CAD"/>
    <w:rsid w:val="00CA7B1E"/>
    <w:rsid w:val="00CC7D07"/>
    <w:rsid w:val="00CD1196"/>
    <w:rsid w:val="00CF7895"/>
    <w:rsid w:val="00D14C6C"/>
    <w:rsid w:val="00D160BD"/>
    <w:rsid w:val="00D20548"/>
    <w:rsid w:val="00D21DC9"/>
    <w:rsid w:val="00D21EF6"/>
    <w:rsid w:val="00D23327"/>
    <w:rsid w:val="00D23F37"/>
    <w:rsid w:val="00D253EE"/>
    <w:rsid w:val="00D65931"/>
    <w:rsid w:val="00D85FB3"/>
    <w:rsid w:val="00D93A5B"/>
    <w:rsid w:val="00DA5148"/>
    <w:rsid w:val="00DA53CC"/>
    <w:rsid w:val="00DA6F3D"/>
    <w:rsid w:val="00DC0C73"/>
    <w:rsid w:val="00DC4935"/>
    <w:rsid w:val="00DD40B3"/>
    <w:rsid w:val="00DD471D"/>
    <w:rsid w:val="00DD4B40"/>
    <w:rsid w:val="00DE1F77"/>
    <w:rsid w:val="00DE6F15"/>
    <w:rsid w:val="00DF32DE"/>
    <w:rsid w:val="00DF71C9"/>
    <w:rsid w:val="00E21A2F"/>
    <w:rsid w:val="00E25614"/>
    <w:rsid w:val="00E3050A"/>
    <w:rsid w:val="00E31707"/>
    <w:rsid w:val="00E3377E"/>
    <w:rsid w:val="00E35BB9"/>
    <w:rsid w:val="00E44B15"/>
    <w:rsid w:val="00E47BC1"/>
    <w:rsid w:val="00E50124"/>
    <w:rsid w:val="00E50C66"/>
    <w:rsid w:val="00E50F01"/>
    <w:rsid w:val="00E5236E"/>
    <w:rsid w:val="00E550A7"/>
    <w:rsid w:val="00E62A46"/>
    <w:rsid w:val="00E63567"/>
    <w:rsid w:val="00E65E4C"/>
    <w:rsid w:val="00E71C67"/>
    <w:rsid w:val="00E71FF2"/>
    <w:rsid w:val="00E8600D"/>
    <w:rsid w:val="00E93CE6"/>
    <w:rsid w:val="00E97007"/>
    <w:rsid w:val="00EA6DB9"/>
    <w:rsid w:val="00EB1FF1"/>
    <w:rsid w:val="00EC4D87"/>
    <w:rsid w:val="00ED250F"/>
    <w:rsid w:val="00EE0C13"/>
    <w:rsid w:val="00F03188"/>
    <w:rsid w:val="00F318CA"/>
    <w:rsid w:val="00F34742"/>
    <w:rsid w:val="00F364B6"/>
    <w:rsid w:val="00F40528"/>
    <w:rsid w:val="00F40C54"/>
    <w:rsid w:val="00F44509"/>
    <w:rsid w:val="00F45A98"/>
    <w:rsid w:val="00F5017B"/>
    <w:rsid w:val="00F617E3"/>
    <w:rsid w:val="00F642FC"/>
    <w:rsid w:val="00F80318"/>
    <w:rsid w:val="00F81712"/>
    <w:rsid w:val="00F82FA8"/>
    <w:rsid w:val="00F91BFF"/>
    <w:rsid w:val="00FA3797"/>
    <w:rsid w:val="00FB195E"/>
    <w:rsid w:val="00FB309E"/>
    <w:rsid w:val="00FC43A0"/>
    <w:rsid w:val="00FD0F41"/>
    <w:rsid w:val="00FD58F6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AB521B"/>
  <w15:docId w15:val="{5C7C7C22-AA7F-44E0-BFE1-9B4B06E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32468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0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D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D9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E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E9"/>
  </w:style>
  <w:style w:type="paragraph" w:styleId="Pieddepage">
    <w:name w:val="footer"/>
    <w:basedOn w:val="Normal"/>
    <w:link w:val="PieddepageCar"/>
    <w:uiPriority w:val="99"/>
    <w:unhideWhenUsed/>
    <w:rsid w:val="003D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E9"/>
  </w:style>
  <w:style w:type="character" w:styleId="Lienhypertexte">
    <w:name w:val="Hyperlink"/>
    <w:basedOn w:val="Policepardfaut"/>
    <w:uiPriority w:val="99"/>
    <w:unhideWhenUsed/>
    <w:rsid w:val="00464280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E3328"/>
  </w:style>
  <w:style w:type="paragraph" w:styleId="Sansinterligne">
    <w:name w:val="No Spacing"/>
    <w:uiPriority w:val="1"/>
    <w:qFormat/>
    <w:rsid w:val="0065624A"/>
    <w:pPr>
      <w:spacing w:after="0" w:line="240" w:lineRule="auto"/>
    </w:pPr>
  </w:style>
  <w:style w:type="paragraph" w:styleId="Rvision">
    <w:name w:val="Revision"/>
    <w:hidden/>
    <w:uiPriority w:val="99"/>
    <w:semiHidden/>
    <w:rsid w:val="00B7052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1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1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esms@loiret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33B5-6DDD-42C2-94D2-1991EC97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2158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MESSANVI Lucia</dc:creator>
  <cp:lastModifiedBy>MOURON Emmanuelle</cp:lastModifiedBy>
  <cp:revision>13</cp:revision>
  <dcterms:created xsi:type="dcterms:W3CDTF">2023-08-02T14:19:00Z</dcterms:created>
  <dcterms:modified xsi:type="dcterms:W3CDTF">2023-10-26T12:55:00Z</dcterms:modified>
</cp:coreProperties>
</file>